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87DEB0">
      <w:pPr>
        <w:spacing w:line="520" w:lineRule="exact"/>
        <w:jc w:val="center"/>
        <w:rPr>
          <w:rFonts w:asciiTheme="majorEastAsia" w:hAnsiTheme="majorEastAsia" w:eastAsiaTheme="majorEastAsia" w:cstheme="majorEastAsia"/>
          <w:bCs/>
          <w:color w:val="000000" w:themeColor="text1"/>
          <w:kern w:val="0"/>
          <w:sz w:val="44"/>
          <w:szCs w:val="44"/>
          <w14:textFill>
            <w14:solidFill>
              <w14:schemeClr w14:val="tx1"/>
            </w14:solidFill>
          </w14:textFill>
        </w:rPr>
      </w:pPr>
      <w:r>
        <w:rPr>
          <w:rFonts w:hint="eastAsia" w:asciiTheme="majorEastAsia" w:hAnsiTheme="majorEastAsia" w:eastAsiaTheme="majorEastAsia" w:cstheme="majorEastAsia"/>
          <w:bCs/>
          <w:color w:val="000000" w:themeColor="text1"/>
          <w:kern w:val="0"/>
          <w:sz w:val="44"/>
          <w:szCs w:val="44"/>
          <w14:textFill>
            <w14:solidFill>
              <w14:schemeClr w14:val="tx1"/>
            </w14:solidFill>
          </w14:textFill>
        </w:rPr>
        <w:t>布吉街道总工会202</w:t>
      </w:r>
      <w:r>
        <w:rPr>
          <w:rFonts w:asciiTheme="majorEastAsia" w:hAnsiTheme="majorEastAsia" w:eastAsiaTheme="majorEastAsia" w:cstheme="majorEastAsia"/>
          <w:bCs/>
          <w:color w:val="000000" w:themeColor="text1"/>
          <w:kern w:val="0"/>
          <w:sz w:val="44"/>
          <w:szCs w:val="44"/>
          <w14:textFill>
            <w14:solidFill>
              <w14:schemeClr w14:val="tx1"/>
            </w14:solidFill>
          </w14:textFill>
        </w:rPr>
        <w:t>6</w:t>
      </w:r>
      <w:r>
        <w:rPr>
          <w:rFonts w:hint="eastAsia" w:asciiTheme="majorEastAsia" w:hAnsiTheme="majorEastAsia" w:eastAsiaTheme="majorEastAsia" w:cstheme="majorEastAsia"/>
          <w:bCs/>
          <w:color w:val="000000" w:themeColor="text1"/>
          <w:kern w:val="0"/>
          <w:sz w:val="44"/>
          <w:szCs w:val="44"/>
          <w14:textFill>
            <w14:solidFill>
              <w14:schemeClr w14:val="tx1"/>
            </w14:solidFill>
          </w14:textFill>
        </w:rPr>
        <w:t>年工会会员春节慰问品采购项目公开招标项目采购需求</w:t>
      </w:r>
    </w:p>
    <w:p w14:paraId="5076BF68">
      <w:pPr>
        <w:spacing w:line="520" w:lineRule="exact"/>
        <w:ind w:firstLine="640" w:firstLineChars="200"/>
        <w:rPr>
          <w:rFonts w:ascii="黑体" w:hAnsi="黑体" w:eastAsia="黑体" w:cs="仿宋"/>
          <w:color w:val="000000" w:themeColor="text1"/>
          <w:sz w:val="32"/>
          <w:szCs w:val="32"/>
          <w14:textFill>
            <w14:solidFill>
              <w14:schemeClr w14:val="tx1"/>
            </w14:solidFill>
          </w14:textFill>
        </w:rPr>
      </w:pPr>
    </w:p>
    <w:p w14:paraId="7699DED5">
      <w:pPr>
        <w:spacing w:line="500" w:lineRule="exact"/>
        <w:ind w:firstLine="562" w:firstLineChars="200"/>
        <w:outlineLvl w:val="0"/>
        <w:rPr>
          <w:rFonts w:asciiTheme="majorEastAsia" w:hAnsiTheme="majorEastAsia" w:eastAsiaTheme="majorEastAsia" w:cstheme="majorEastAsia"/>
          <w:b/>
          <w:bCs/>
          <w:color w:val="000000" w:themeColor="text1"/>
          <w:sz w:val="28"/>
          <w:szCs w:val="28"/>
          <w14:textFill>
            <w14:solidFill>
              <w14:schemeClr w14:val="tx1"/>
            </w14:solidFill>
          </w14:textFill>
        </w:rPr>
      </w:pPr>
      <w:r>
        <w:rPr>
          <w:rFonts w:hint="eastAsia" w:asciiTheme="majorEastAsia" w:hAnsiTheme="majorEastAsia" w:eastAsiaTheme="majorEastAsia" w:cstheme="majorEastAsia"/>
          <w:b/>
          <w:bCs/>
          <w:color w:val="000000" w:themeColor="text1"/>
          <w:sz w:val="28"/>
          <w:szCs w:val="28"/>
          <w14:textFill>
            <w14:solidFill>
              <w14:schemeClr w14:val="tx1"/>
            </w14:solidFill>
          </w14:textFill>
        </w:rPr>
        <w:t>一、项目基本信息</w:t>
      </w:r>
    </w:p>
    <w:p w14:paraId="08067A5B">
      <w:pPr>
        <w:spacing w:line="500" w:lineRule="exact"/>
        <w:ind w:firstLine="840" w:firstLineChars="300"/>
        <w:rPr>
          <w:rFonts w:ascii="仿宋_GB2312" w:eastAsia="仿宋_GB2312" w:cs="仿宋"/>
          <w:color w:val="000000" w:themeColor="text1"/>
          <w:sz w:val="28"/>
          <w:szCs w:val="28"/>
          <w14:textFill>
            <w14:solidFill>
              <w14:schemeClr w14:val="tx1"/>
            </w14:solidFill>
          </w14:textFill>
        </w:rPr>
      </w:pPr>
      <w:r>
        <w:rPr>
          <w:rFonts w:hint="eastAsia" w:ascii="仿宋_GB2312" w:eastAsia="仿宋_GB2312" w:cs="仿宋"/>
          <w:color w:val="000000" w:themeColor="text1"/>
          <w:sz w:val="28"/>
          <w:szCs w:val="28"/>
          <w14:textFill>
            <w14:solidFill>
              <w14:schemeClr w14:val="tx1"/>
            </w14:solidFill>
          </w14:textFill>
        </w:rPr>
        <w:t>（一）项目概况：布吉街道总工会2026年工会会员春节慰问品采购项目</w:t>
      </w:r>
    </w:p>
    <w:p w14:paraId="7B90BAF7">
      <w:pPr>
        <w:pStyle w:val="7"/>
        <w:spacing w:line="500" w:lineRule="exact"/>
        <w:rPr>
          <w:rFonts w:ascii="仿宋_GB2312" w:eastAsia="仿宋_GB2312" w:cs="仿宋"/>
          <w:color w:val="000000" w:themeColor="text1"/>
          <w:sz w:val="28"/>
          <w:szCs w:val="28"/>
          <w14:textFill>
            <w14:solidFill>
              <w14:schemeClr w14:val="tx1"/>
            </w14:solidFill>
          </w14:textFill>
        </w:rPr>
      </w:pPr>
      <w:r>
        <w:rPr>
          <w:rFonts w:hint="eastAsia" w:ascii="仿宋_GB2312" w:eastAsia="仿宋_GB2312" w:cs="仿宋"/>
          <w:color w:val="000000" w:themeColor="text1"/>
          <w:sz w:val="28"/>
          <w:szCs w:val="28"/>
          <w14:textFill>
            <w14:solidFill>
              <w14:schemeClr w14:val="tx1"/>
            </w14:solidFill>
          </w14:textFill>
        </w:rPr>
        <w:t xml:space="preserve">      （二）项目清单：</w:t>
      </w:r>
    </w:p>
    <w:tbl>
      <w:tblPr>
        <w:tblStyle w:val="15"/>
        <w:tblW w:w="9691" w:type="dxa"/>
        <w:tblInd w:w="-3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9"/>
        <w:gridCol w:w="3827"/>
        <w:gridCol w:w="1035"/>
        <w:gridCol w:w="1049"/>
        <w:gridCol w:w="1227"/>
        <w:gridCol w:w="1624"/>
      </w:tblGrid>
      <w:tr w14:paraId="7DC03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929" w:type="dxa"/>
            <w:tcBorders>
              <w:tl2br w:val="nil"/>
              <w:tr2bl w:val="nil"/>
            </w:tcBorders>
            <w:vAlign w:val="center"/>
          </w:tcPr>
          <w:p w14:paraId="7A6181A0">
            <w:pPr>
              <w:spacing w:line="0" w:lineRule="atLeast"/>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序</w:t>
            </w:r>
          </w:p>
          <w:p w14:paraId="09B6C68C">
            <w:pPr>
              <w:spacing w:line="0" w:lineRule="atLeast"/>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号</w:t>
            </w:r>
          </w:p>
        </w:tc>
        <w:tc>
          <w:tcPr>
            <w:tcW w:w="3827" w:type="dxa"/>
            <w:tcBorders>
              <w:tl2br w:val="nil"/>
              <w:tr2bl w:val="nil"/>
            </w:tcBorders>
            <w:vAlign w:val="center"/>
          </w:tcPr>
          <w:p w14:paraId="43EBA03B">
            <w:pPr>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服务名称</w:t>
            </w:r>
          </w:p>
        </w:tc>
        <w:tc>
          <w:tcPr>
            <w:tcW w:w="1035" w:type="dxa"/>
            <w:tcBorders>
              <w:tl2br w:val="nil"/>
              <w:tr2bl w:val="nil"/>
            </w:tcBorders>
            <w:vAlign w:val="center"/>
          </w:tcPr>
          <w:p w14:paraId="416EDA30">
            <w:pPr>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数量</w:t>
            </w:r>
          </w:p>
        </w:tc>
        <w:tc>
          <w:tcPr>
            <w:tcW w:w="1049" w:type="dxa"/>
            <w:tcBorders>
              <w:tl2br w:val="nil"/>
              <w:tr2bl w:val="nil"/>
            </w:tcBorders>
            <w:vAlign w:val="center"/>
          </w:tcPr>
          <w:p w14:paraId="54B54CB6">
            <w:pPr>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单位</w:t>
            </w:r>
          </w:p>
        </w:tc>
        <w:tc>
          <w:tcPr>
            <w:tcW w:w="1227" w:type="dxa"/>
            <w:tcBorders>
              <w:tl2br w:val="nil"/>
              <w:tr2bl w:val="nil"/>
            </w:tcBorders>
            <w:vAlign w:val="center"/>
          </w:tcPr>
          <w:p w14:paraId="4A4CC3D3">
            <w:pPr>
              <w:spacing w:line="0" w:lineRule="atLeast"/>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财政预算限额</w:t>
            </w:r>
          </w:p>
          <w:p w14:paraId="7E014A18">
            <w:pPr>
              <w:spacing w:line="0" w:lineRule="atLeast"/>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（元）</w:t>
            </w:r>
          </w:p>
        </w:tc>
        <w:tc>
          <w:tcPr>
            <w:tcW w:w="1624" w:type="dxa"/>
            <w:tcBorders>
              <w:tl2br w:val="nil"/>
              <w:tr2bl w:val="nil"/>
            </w:tcBorders>
            <w:vAlign w:val="center"/>
          </w:tcPr>
          <w:p w14:paraId="12846FC3">
            <w:pPr>
              <w:jc w:val="center"/>
              <w:textAlignment w:val="baseline"/>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备注</w:t>
            </w:r>
          </w:p>
        </w:tc>
      </w:tr>
      <w:tr w14:paraId="23F95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29" w:type="dxa"/>
            <w:tcBorders>
              <w:tl2br w:val="nil"/>
              <w:tr2bl w:val="nil"/>
            </w:tcBorders>
            <w:vAlign w:val="center"/>
          </w:tcPr>
          <w:p w14:paraId="51B76A34">
            <w:pPr>
              <w:jc w:val="center"/>
              <w:textAlignment w:val="baseline"/>
              <w:rPr>
                <w:rFonts w:ascii="仿宋_GB2312" w:hAnsi="仿宋_GB2312" w:eastAsia="仿宋_GB2312" w:cs="仿宋_GB2312"/>
                <w:bCs/>
                <w:color w:val="000000" w:themeColor="text1"/>
                <w:sz w:val="24"/>
                <w:szCs w:val="24"/>
                <w14:textFill>
                  <w14:solidFill>
                    <w14:schemeClr w14:val="tx1"/>
                  </w14:solidFill>
                </w14:textFill>
              </w:rPr>
            </w:pPr>
            <w:r>
              <w:rPr>
                <w:rFonts w:hint="eastAsia" w:ascii="仿宋_GB2312" w:hAnsi="仿宋_GB2312" w:eastAsia="仿宋_GB2312" w:cs="仿宋_GB2312"/>
                <w:bCs/>
                <w:color w:val="000000" w:themeColor="text1"/>
                <w:sz w:val="24"/>
                <w:szCs w:val="24"/>
                <w14:textFill>
                  <w14:solidFill>
                    <w14:schemeClr w14:val="tx1"/>
                  </w14:solidFill>
                </w14:textFill>
              </w:rPr>
              <w:t>1</w:t>
            </w:r>
          </w:p>
        </w:tc>
        <w:tc>
          <w:tcPr>
            <w:tcW w:w="3827" w:type="dxa"/>
            <w:tcBorders>
              <w:tl2br w:val="nil"/>
              <w:tr2bl w:val="nil"/>
            </w:tcBorders>
            <w:vAlign w:val="center"/>
          </w:tcPr>
          <w:p w14:paraId="047227EF">
            <w:pPr>
              <w:spacing w:line="0" w:lineRule="atLeast"/>
              <w:jc w:val="center"/>
              <w:textAlignment w:val="baseline"/>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eastAsia="仿宋_GB2312" w:cs="仿宋"/>
                <w:color w:val="000000" w:themeColor="text1"/>
                <w:sz w:val="28"/>
                <w:szCs w:val="28"/>
                <w14:textFill>
                  <w14:solidFill>
                    <w14:schemeClr w14:val="tx1"/>
                  </w14:solidFill>
                </w14:textFill>
              </w:rPr>
              <w:t>布吉街道总工会2026年工会会员春节慰问品采购项目</w:t>
            </w:r>
          </w:p>
        </w:tc>
        <w:tc>
          <w:tcPr>
            <w:tcW w:w="1035" w:type="dxa"/>
            <w:tcBorders>
              <w:tl2br w:val="nil"/>
              <w:tr2bl w:val="nil"/>
            </w:tcBorders>
            <w:vAlign w:val="center"/>
          </w:tcPr>
          <w:p w14:paraId="2A72A38A">
            <w:pPr>
              <w:jc w:val="center"/>
              <w:textAlignment w:val="baseline"/>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p>
        </w:tc>
        <w:tc>
          <w:tcPr>
            <w:tcW w:w="1049" w:type="dxa"/>
            <w:tcBorders>
              <w:tl2br w:val="nil"/>
              <w:tr2bl w:val="nil"/>
            </w:tcBorders>
            <w:vAlign w:val="center"/>
          </w:tcPr>
          <w:p w14:paraId="0AF8A2F4">
            <w:pPr>
              <w:jc w:val="center"/>
              <w:textAlignment w:val="baseline"/>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项</w:t>
            </w:r>
          </w:p>
        </w:tc>
        <w:tc>
          <w:tcPr>
            <w:tcW w:w="1227" w:type="dxa"/>
            <w:tcBorders>
              <w:tl2br w:val="nil"/>
              <w:tr2bl w:val="nil"/>
            </w:tcBorders>
            <w:vAlign w:val="center"/>
          </w:tcPr>
          <w:p w14:paraId="7F90187E">
            <w:pPr>
              <w:jc w:val="center"/>
              <w:textAlignment w:val="baseline"/>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7750</w:t>
            </w:r>
            <w:r>
              <w:rPr>
                <w:rFonts w:ascii="仿宋_GB2312" w:hAnsi="仿宋_GB2312" w:eastAsia="仿宋_GB2312" w:cs="仿宋_GB2312"/>
                <w:bCs/>
                <w:color w:val="000000" w:themeColor="text1"/>
                <w:sz w:val="28"/>
                <w:szCs w:val="28"/>
                <w14:textFill>
                  <w14:solidFill>
                    <w14:schemeClr w14:val="tx1"/>
                  </w14:solidFill>
                </w14:textFill>
              </w:rPr>
              <w:t>00</w:t>
            </w:r>
          </w:p>
        </w:tc>
        <w:tc>
          <w:tcPr>
            <w:tcW w:w="1624" w:type="dxa"/>
            <w:tcBorders>
              <w:tl2br w:val="nil"/>
              <w:tr2bl w:val="nil"/>
            </w:tcBorders>
            <w:vAlign w:val="center"/>
          </w:tcPr>
          <w:p w14:paraId="5608A045">
            <w:pPr>
              <w:jc w:val="center"/>
              <w:textAlignment w:val="baseline"/>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拒绝进口</w:t>
            </w:r>
          </w:p>
        </w:tc>
      </w:tr>
    </w:tbl>
    <w:p w14:paraId="2EE6A2DA">
      <w:pPr>
        <w:pStyle w:val="7"/>
        <w:spacing w:line="500" w:lineRule="exact"/>
        <w:ind w:firstLine="560" w:firstLineChars="200"/>
        <w:rPr>
          <w:bCs/>
          <w:color w:val="000000" w:themeColor="text1"/>
          <w:sz w:val="28"/>
          <w:szCs w:val="28"/>
          <w14:textFill>
            <w14:solidFill>
              <w14:schemeClr w14:val="tx1"/>
            </w14:solidFill>
          </w14:textFill>
        </w:rPr>
      </w:pPr>
      <w:r>
        <w:rPr>
          <w:rFonts w:hint="eastAsia"/>
          <w:bCs/>
          <w:color w:val="000000" w:themeColor="text1"/>
          <w:sz w:val="28"/>
          <w:szCs w:val="28"/>
          <w14:textFill>
            <w14:solidFill>
              <w14:schemeClr w14:val="tx1"/>
            </w14:solidFill>
          </w14:textFill>
        </w:rPr>
        <w:t>备注：本项目不接受进口产品参与投标。进口产品是指通过中国海关报关验放进入中国境内且产自关境外的产品（以“财库〔2007〕119号文”和“财办库〔2008〕248号文”的相关规定为准）。</w:t>
      </w:r>
    </w:p>
    <w:p w14:paraId="61024868">
      <w:pPr>
        <w:pStyle w:val="7"/>
        <w:spacing w:after="0" w:line="500" w:lineRule="exact"/>
        <w:ind w:firstLine="560" w:firstLineChars="200"/>
        <w:rPr>
          <w:rFonts w:ascii="仿宋_GB2312" w:eastAsia="仿宋_GB2312" w:cs="仿宋"/>
          <w:color w:val="000000" w:themeColor="text1"/>
          <w:sz w:val="28"/>
          <w:szCs w:val="28"/>
          <w14:textFill>
            <w14:solidFill>
              <w14:schemeClr w14:val="tx1"/>
            </w14:solidFill>
          </w14:textFill>
        </w:rPr>
      </w:pPr>
      <w:r>
        <w:rPr>
          <w:rFonts w:hint="eastAsia" w:ascii="仿宋_GB2312" w:eastAsia="仿宋_GB2312" w:cs="仿宋"/>
          <w:color w:val="000000" w:themeColor="text1"/>
          <w:sz w:val="28"/>
          <w:szCs w:val="28"/>
          <w14:textFill>
            <w14:solidFill>
              <w14:schemeClr w14:val="tx1"/>
            </w14:solidFill>
          </w14:textFill>
        </w:rPr>
        <w:t>（三）项目内容：</w:t>
      </w:r>
    </w:p>
    <w:p w14:paraId="2FA09500">
      <w:pPr>
        <w:pStyle w:val="9"/>
        <w:tabs>
          <w:tab w:val="left" w:pos="0"/>
        </w:tabs>
        <w:adjustRightInd w:val="0"/>
        <w:snapToGrid w:val="0"/>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14:textFill>
            <w14:solidFill>
              <w14:schemeClr w14:val="tx1"/>
            </w14:solidFill>
          </w14:textFill>
        </w:rPr>
        <w:t>采购人按实际需求下单，预估数量为1550份。支付标准单价=500元/份，采购人根据实际采购商品的数量进行结算，支付上限为775000.00元，</w:t>
      </w:r>
      <w:r>
        <w:rPr>
          <w:rFonts w:hint="eastAsia" w:ascii="仿宋_GB2312" w:hAnsi="仿宋_GB2312" w:eastAsia="仿宋_GB2312" w:cs="仿宋_GB2312"/>
          <w:color w:val="000000" w:themeColor="text1"/>
          <w:sz w:val="28"/>
          <w:szCs w:val="28"/>
          <w14:textFill>
            <w14:solidFill>
              <w14:schemeClr w14:val="tx1"/>
            </w14:solidFill>
          </w14:textFill>
        </w:rPr>
        <w:t>实际结算数量及其他内容以合同签订为准。</w:t>
      </w:r>
    </w:p>
    <w:p w14:paraId="3E80E4F6">
      <w:pPr>
        <w:pStyle w:val="9"/>
        <w:tabs>
          <w:tab w:val="left" w:pos="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2.本项目不接受《购物信用协议》、《赊销合同》等其他协议的签订。</w:t>
      </w:r>
    </w:p>
    <w:p w14:paraId="71DC818A">
      <w:pPr>
        <w:spacing w:line="500" w:lineRule="exact"/>
        <w:ind w:firstLine="560" w:firstLineChars="200"/>
        <w:outlineLvl w:val="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（四）项目采购标的清单</w:t>
      </w:r>
    </w:p>
    <w:p w14:paraId="3362729C">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1.包装食品类，包括：饼干糕点、常温奶制品、冲饮品、方便食品、粮食、食用油、糖果巧克力、调味品、副食品、休闲食品、饮料。</w:t>
      </w:r>
    </w:p>
    <w:p w14:paraId="62D39EAA">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2.日用品类，包括：厨房用品、家居清洁用品、生活用纸、洗发美发用品、洗浴用品、消杀用品、织物清洁用品。</w:t>
      </w:r>
    </w:p>
    <w:p w14:paraId="6B7AD159">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按照以上品类提供正品商品，且为市场流通的，提供不少于800种商品，最终物品以采购人确认为准。</w:t>
      </w:r>
    </w:p>
    <w:p w14:paraId="61BE2B41">
      <w:pPr>
        <w:spacing w:line="500" w:lineRule="exact"/>
        <w:ind w:firstLine="560" w:firstLineChars="200"/>
        <w:outlineLvl w:val="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（五）</w:t>
      </w:r>
      <w:bookmarkStart w:id="0" w:name="OLE_LINK3"/>
      <w:r>
        <w:rPr>
          <w:rFonts w:hint="eastAsia" w:ascii="仿宋_GB2312" w:hAnsi="仿宋_GB2312" w:eastAsia="仿宋_GB2312" w:cs="仿宋_GB2312"/>
          <w:bCs/>
          <w:color w:val="000000" w:themeColor="text1"/>
          <w:sz w:val="28"/>
          <w:szCs w:val="28"/>
          <w14:textFill>
            <w14:solidFill>
              <w14:schemeClr w14:val="tx1"/>
            </w14:solidFill>
          </w14:textFill>
        </w:rPr>
        <w:t>项目技术要求</w:t>
      </w:r>
      <w:bookmarkEnd w:id="0"/>
    </w:p>
    <w:p w14:paraId="578E5A6B">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1.中标人须具有</w:t>
      </w:r>
      <w:r>
        <w:rPr>
          <w:rFonts w:ascii="仿宋_GB2312" w:hAnsi="仿宋_GB2312" w:eastAsia="仿宋_GB2312" w:cs="仿宋_GB2312"/>
          <w:bCs/>
          <w:color w:val="000000" w:themeColor="text1"/>
          <w:sz w:val="28"/>
          <w:szCs w:val="28"/>
          <w14:textFill>
            <w14:solidFill>
              <w14:schemeClr w14:val="tx1"/>
            </w14:solidFill>
          </w14:textFill>
        </w:rPr>
        <w:t>线上平台 (或公众号/小程序等网上渠道)，小程序平台优先。采购人的职工可在</w:t>
      </w:r>
      <w:r>
        <w:rPr>
          <w:rFonts w:hint="eastAsia" w:ascii="仿宋_GB2312" w:hAnsi="仿宋_GB2312" w:eastAsia="仿宋_GB2312" w:cs="仿宋_GB2312"/>
          <w:bCs/>
          <w:color w:val="000000" w:themeColor="text1"/>
          <w:sz w:val="28"/>
          <w:szCs w:val="28"/>
          <w14:textFill>
            <w14:solidFill>
              <w14:schemeClr w14:val="tx1"/>
            </w14:solidFill>
          </w14:textFill>
        </w:rPr>
        <w:t>该线上平台中</w:t>
      </w:r>
      <w:r>
        <w:rPr>
          <w:rFonts w:ascii="仿宋_GB2312" w:hAnsi="仿宋_GB2312" w:eastAsia="仿宋_GB2312" w:cs="仿宋_GB2312"/>
          <w:bCs/>
          <w:color w:val="000000" w:themeColor="text1"/>
          <w:sz w:val="28"/>
          <w:szCs w:val="28"/>
          <w14:textFill>
            <w14:solidFill>
              <w14:schemeClr w14:val="tx1"/>
            </w14:solidFill>
          </w14:textFill>
        </w:rPr>
        <w:t>自由选择在售商品。</w:t>
      </w:r>
    </w:p>
    <w:p w14:paraId="0B2F93BD">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2</w:t>
      </w:r>
      <w:r>
        <w:rPr>
          <w:rFonts w:ascii="仿宋_GB2312" w:hAnsi="仿宋_GB2312" w:eastAsia="仿宋_GB2312" w:cs="仿宋_GB2312"/>
          <w:bCs/>
          <w:color w:val="000000" w:themeColor="text1"/>
          <w:sz w:val="28"/>
          <w:szCs w:val="28"/>
          <w14:textFill>
            <w14:solidFill>
              <w14:schemeClr w14:val="tx1"/>
            </w14:solidFill>
          </w14:textFill>
        </w:rPr>
        <w:t>.中标人</w:t>
      </w:r>
      <w:r>
        <w:rPr>
          <w:rFonts w:hint="eastAsia" w:ascii="仿宋_GB2312" w:hAnsi="仿宋_GB2312" w:eastAsia="仿宋_GB2312" w:cs="仿宋_GB2312"/>
          <w:bCs/>
          <w:color w:val="000000" w:themeColor="text1"/>
          <w:sz w:val="28"/>
          <w:szCs w:val="28"/>
          <w14:textFill>
            <w14:solidFill>
              <w14:schemeClr w14:val="tx1"/>
            </w14:solidFill>
          </w14:textFill>
        </w:rPr>
        <w:t>根据采购人确定的人员发放指定的券面金额</w:t>
      </w:r>
      <w:r>
        <w:rPr>
          <w:rFonts w:ascii="仿宋_GB2312" w:hAnsi="仿宋_GB2312" w:eastAsia="仿宋_GB2312" w:cs="仿宋_GB2312"/>
          <w:bCs/>
          <w:color w:val="000000" w:themeColor="text1"/>
          <w:sz w:val="28"/>
          <w:szCs w:val="28"/>
          <w14:textFill>
            <w14:solidFill>
              <w14:schemeClr w14:val="tx1"/>
            </w14:solidFill>
          </w14:textFill>
        </w:rPr>
        <w:t>(可兑换的金额)的电子券。提供从发放电子券起全流程服务，包含但不限于提供电子券使用指南、咨询、问题受理等服务。</w:t>
      </w:r>
    </w:p>
    <w:p w14:paraId="3B437D79">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3.中标人线上平台服务要求</w:t>
      </w:r>
    </w:p>
    <w:p w14:paraId="27314D32">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ascii="仿宋_GB2312" w:hAnsi="仿宋_GB2312" w:eastAsia="仿宋_GB2312" w:cs="仿宋_GB2312"/>
          <w:bCs/>
          <w:color w:val="000000" w:themeColor="text1"/>
          <w:sz w:val="28"/>
          <w:szCs w:val="28"/>
          <w14:textFill>
            <w14:solidFill>
              <w14:schemeClr w14:val="tx1"/>
            </w14:solidFill>
          </w14:textFill>
        </w:rPr>
        <w:t>应满足多重支付方式，允许采购下单时使用电子券付费和自费相结合的方式进行一次性下单付款。若下单时超出电子券额度的，可由职工自费超出费用。自费付费方式应确保能够支持常见的支付渠道，如：微信支付、支付宝支付、银行卡支付等。</w:t>
      </w:r>
    </w:p>
    <w:p w14:paraId="296B4085">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ascii="仿宋_GB2312" w:hAnsi="仿宋_GB2312" w:eastAsia="仿宋_GB2312" w:cs="仿宋_GB2312"/>
          <w:bCs/>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14:textFill>
            <w14:solidFill>
              <w14:schemeClr w14:val="tx1"/>
            </w14:solidFill>
          </w14:textFill>
        </w:rPr>
        <w:t>2</w:t>
      </w:r>
      <w:r>
        <w:rPr>
          <w:rFonts w:ascii="仿宋_GB2312" w:hAnsi="仿宋_GB2312" w:eastAsia="仿宋_GB2312" w:cs="仿宋_GB2312"/>
          <w:bCs/>
          <w:color w:val="000000" w:themeColor="text1"/>
          <w:sz w:val="28"/>
          <w:szCs w:val="28"/>
          <w14:textFill>
            <w14:solidFill>
              <w14:schemeClr w14:val="tx1"/>
            </w14:solidFill>
          </w14:textFill>
        </w:rPr>
        <w:t>）中标人提供的线上平台应当具备物流跟踪查询相关功能，如：及时显示物流单号、即时查询物流进度等。</w:t>
      </w:r>
    </w:p>
    <w:p w14:paraId="1297017D">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ascii="仿宋_GB2312" w:hAnsi="仿宋_GB2312" w:eastAsia="仿宋_GB2312" w:cs="仿宋_GB2312"/>
          <w:bCs/>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14:textFill>
            <w14:solidFill>
              <w14:schemeClr w14:val="tx1"/>
            </w14:solidFill>
          </w14:textFill>
        </w:rPr>
        <w:t>3</w:t>
      </w:r>
      <w:r>
        <w:rPr>
          <w:rFonts w:ascii="仿宋_GB2312" w:hAnsi="仿宋_GB2312" w:eastAsia="仿宋_GB2312" w:cs="仿宋_GB2312"/>
          <w:bCs/>
          <w:color w:val="000000" w:themeColor="text1"/>
          <w:sz w:val="28"/>
          <w:szCs w:val="28"/>
          <w14:textFill>
            <w14:solidFill>
              <w14:schemeClr w14:val="tx1"/>
            </w14:solidFill>
          </w14:textFill>
        </w:rPr>
        <w:t>）可实时跟踪订单状态。</w:t>
      </w:r>
    </w:p>
    <w:p w14:paraId="4620E3B7">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4）中标人有专业的售后服务团队和售后专线，提供详细的售后服务方案，主要包括退换货政策、符合国家三包政策、售后维护、客服专线服务、在线咨询服务、问题处理周期、纠纷解决等方面以及其他服务等内容，方便员工咨询及解决问题。</w:t>
      </w:r>
    </w:p>
    <w:p w14:paraId="19AE795B">
      <w:pPr>
        <w:pStyle w:val="9"/>
        <w:tabs>
          <w:tab w:val="left" w:pos="540"/>
        </w:tabs>
        <w:adjustRightInd w:val="0"/>
        <w:snapToGrid w:val="0"/>
        <w:spacing w:line="500" w:lineRule="exact"/>
        <w:ind w:firstLine="560" w:firstLineChars="200"/>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5）中标人提供选购的平台商品单价不得高于对外销售的市场价，即商品单价不得高于深圳市主流商场（如天虹、华润万家、沃尔玛等）、天猫旗舰店、京东自营店的同款商品售卖价格（非促销价或折扣价）的平均值。投标时需提供承诺函（格式自拟）。</w:t>
      </w:r>
    </w:p>
    <w:p w14:paraId="24EFC256">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4.中标人所提供货物应来源于正规、合格渠道，全新的，符合中华人民共和国国家质量及国家安全环保标准和其它适用的国家、行业、地方标准。</w:t>
      </w:r>
    </w:p>
    <w:p w14:paraId="1CFF2F97">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5.提供的产品通过国家法定机构检验检测，是达到行业标准的合格产品，符合国家及行业有关质量标准。</w:t>
      </w:r>
    </w:p>
    <w:p w14:paraId="04D17F3D">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6.中标人提供的产品必须是全新的、未开封、表面无划损、无任何缺陷。</w:t>
      </w:r>
    </w:p>
    <w:p w14:paraId="740AF04B">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7.所有提供的产品必须满足国家相关法规要求。食品类产品必须具备生产许可标志并通过相关检测监测部门备案，其他产品必须是合格产品，产品保质期从发放之日起计须剩余保质期不少于8个月；食品的剩余保质期从发放之日起计，不少于该产品包装上所明确的时间的三分之二。</w:t>
      </w:r>
    </w:p>
    <w:p w14:paraId="62B162BB">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8.若因有效期内产品质量问题导致食用后出现身体不适等情形，由中标人承担一切法律责任和经济赔偿责任,因此导致采购人损失的，中标人应予以赔偿，采购人保留追究刑事责任权利。</w:t>
      </w:r>
    </w:p>
    <w:p w14:paraId="4A2598F1">
      <w:pPr>
        <w:pStyle w:val="9"/>
        <w:tabs>
          <w:tab w:val="left" w:pos="540"/>
        </w:tabs>
        <w:adjustRightInd w:val="0"/>
        <w:snapToGrid w:val="0"/>
        <w:spacing w:line="500" w:lineRule="exact"/>
        <w:ind w:firstLine="560" w:firstLineChars="20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9.服务期内，中标人需向职工推送不少于五次信息提醒，以避免职工忘记采购慰问品。</w:t>
      </w:r>
    </w:p>
    <w:p w14:paraId="1F693CCE">
      <w:pPr>
        <w:spacing w:line="500" w:lineRule="exact"/>
        <w:ind w:firstLine="560" w:firstLineChars="200"/>
        <w:outlineLvl w:val="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（六）人员需求：</w:t>
      </w:r>
    </w:p>
    <w:p w14:paraId="234E69DA">
      <w:pPr>
        <w:pStyle w:val="7"/>
        <w:spacing w:after="0"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针对此项目安排5人或以上的服务团队。</w:t>
      </w:r>
    </w:p>
    <w:p w14:paraId="123FA0D2">
      <w:pPr>
        <w:numPr>
          <w:ilvl w:val="0"/>
          <w:numId w:val="1"/>
        </w:numPr>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质量保障要求：</w:t>
      </w:r>
    </w:p>
    <w:p w14:paraId="2E095CDA">
      <w:pPr>
        <w:numPr>
          <w:ilvl w:val="255"/>
          <w:numId w:val="0"/>
        </w:numPr>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    为保证项目能够保质保量、按时完成，投标人应根据本项目的实际情况提供完整、详细、切实可行的质量保证方案、售后服务方案、商品安排方案以及质量安全承诺。</w:t>
      </w:r>
    </w:p>
    <w:p w14:paraId="383BD264">
      <w:pPr>
        <w:spacing w:line="500" w:lineRule="exact"/>
        <w:ind w:firstLine="562" w:firstLineChars="200"/>
        <w:outlineLvl w:val="0"/>
        <w:rPr>
          <w:rFonts w:asciiTheme="majorEastAsia" w:hAnsiTheme="majorEastAsia" w:eastAsiaTheme="majorEastAsia" w:cstheme="majorEastAsia"/>
          <w:b/>
          <w:bCs/>
          <w:color w:val="000000" w:themeColor="text1"/>
          <w:sz w:val="28"/>
          <w:szCs w:val="28"/>
          <w14:textFill>
            <w14:solidFill>
              <w14:schemeClr w14:val="tx1"/>
            </w14:solidFill>
          </w14:textFill>
        </w:rPr>
      </w:pPr>
      <w:r>
        <w:rPr>
          <w:rFonts w:hint="eastAsia" w:asciiTheme="majorEastAsia" w:hAnsiTheme="majorEastAsia" w:eastAsiaTheme="majorEastAsia" w:cstheme="majorEastAsia"/>
          <w:b/>
          <w:bCs/>
          <w:color w:val="000000" w:themeColor="text1"/>
          <w:sz w:val="28"/>
          <w:szCs w:val="28"/>
          <w14:textFill>
            <w14:solidFill>
              <w14:schemeClr w14:val="tx1"/>
            </w14:solidFill>
          </w14:textFill>
        </w:rPr>
        <w:t>二、申请人（投标人）资格要求</w:t>
      </w:r>
    </w:p>
    <w:p w14:paraId="6A030CD5">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（一）满足《中华人民共和国政府采购法》第二十二条规定（由供应商在《政府采购投标及履约承诺函》中作出声明）。</w:t>
      </w:r>
    </w:p>
    <w:p w14:paraId="121044AA">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（二）落实政府采购政策需满足的资格要求：无 。</w:t>
      </w:r>
    </w:p>
    <w:p w14:paraId="1526D5D9">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（三）本项目的特定资格要求：</w:t>
      </w:r>
    </w:p>
    <w:p w14:paraId="0DE6A021">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bookmarkStart w:id="1" w:name="_Hlk182993790"/>
      <w:r>
        <w:rPr>
          <w:rFonts w:hint="eastAsia" w:ascii="仿宋_GB2312" w:hAnsi="仿宋_GB2312" w:eastAsia="仿宋_GB2312" w:cs="仿宋_GB2312"/>
          <w:color w:val="000000" w:themeColor="text1"/>
          <w:sz w:val="28"/>
          <w:szCs w:val="28"/>
          <w14:textFill>
            <w14:solidFill>
              <w14:schemeClr w14:val="tx1"/>
            </w14:solidFill>
          </w14:textFill>
        </w:rPr>
        <w:t>（1）具有独立法人资格或是具有独立承担民事责任能力的其它组织（提供营业执照或事业单位法人证书等证明资料扫描件；如果参与投标的供应商为分公司则须提供分公司营业执照、其所属集团（或总公司）等具有独立法人资格的组织出具的授权函或承诺书，但只接受直接授权，不接受逐级授权，并同时提供总公司营业执照。不接受同一集团（或总公司）授权两家或以上分公司同时参与本项目投标，也不接受集团（或总公司）与分公司同时参与本项目投标，如出现上述情形，该两家或以上供应商的投标文件均按无效投标处理）。</w:t>
      </w:r>
    </w:p>
    <w:bookmarkEnd w:id="1"/>
    <w:p w14:paraId="6399D19A">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（2）投标人未被列入失信被执行人、重大税收违法失信主体（重大税收违法失信主体）、政府采购严重违法失信行为记录名单，不存在《深圳市财政局政府采购供应商信用信息管理办法》（深财规〔</w:t>
      </w:r>
      <w:r>
        <w:rPr>
          <w:rFonts w:ascii="仿宋_GB2312" w:hAnsi="仿宋_GB2312" w:eastAsia="仿宋_GB2312" w:cs="仿宋_GB2312"/>
          <w:color w:val="000000" w:themeColor="text1"/>
          <w:sz w:val="28"/>
          <w:szCs w:val="28"/>
          <w14:textFill>
            <w14:solidFill>
              <w14:schemeClr w14:val="tx1"/>
            </w14:solidFill>
          </w14:textFill>
        </w:rPr>
        <w:t>2023〕3 号）列明的严重违法失信行为（由投标人在《政府采购投标及履约承诺函》中作出声明）；</w:t>
      </w:r>
      <w:r>
        <w:rPr>
          <w:rFonts w:hint="eastAsia" w:ascii="仿宋_GB2312" w:hAnsi="仿宋_GB2312" w:eastAsia="仿宋_GB2312" w:cs="仿宋_GB2312"/>
          <w:color w:val="000000" w:themeColor="text1"/>
          <w:sz w:val="28"/>
          <w:szCs w:val="28"/>
          <w14:textFill>
            <w14:solidFill>
              <w14:schemeClr w14:val="tx1"/>
            </w14:solidFill>
          </w14:textFill>
        </w:rPr>
        <w:t>【注：采购代理机构将通过“信用中国”中“信用服务”栏的“重大税收违法失信主体”“失信被执行人”、“中国政府采购网”中的“政府采购严重违法失信行为记录名单”、深圳信用网”以及“深圳市政府采购监管网”查询供应商的信用信息，相关信息以开标当日的查询结果为准。信用信息查询记录将作为项目档案材料一并保存】。</w:t>
      </w:r>
    </w:p>
    <w:p w14:paraId="1F0AE2F4">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（3）具有在有效期内的《食品经营许可证》或市场监督管理部门出具的《</w:t>
      </w:r>
      <w:bookmarkStart w:id="2" w:name="OLE_LINK1"/>
      <w:r>
        <w:rPr>
          <w:rFonts w:hint="eastAsia" w:ascii="仿宋_GB2312" w:hAnsi="仿宋_GB2312" w:eastAsia="仿宋_GB2312" w:cs="仿宋_GB2312"/>
          <w:color w:val="000000" w:themeColor="text1"/>
          <w:sz w:val="28"/>
          <w:szCs w:val="28"/>
          <w14:textFill>
            <w14:solidFill>
              <w14:schemeClr w14:val="tx1"/>
            </w14:solidFill>
          </w14:textFill>
        </w:rPr>
        <w:t>仅销售预包装食品的相关备案凭证</w:t>
      </w:r>
      <w:bookmarkEnd w:id="2"/>
      <w:r>
        <w:rPr>
          <w:rFonts w:hint="eastAsia" w:ascii="仿宋_GB2312" w:hAnsi="仿宋_GB2312" w:eastAsia="仿宋_GB2312" w:cs="仿宋_GB2312"/>
          <w:color w:val="000000" w:themeColor="text1"/>
          <w:sz w:val="28"/>
          <w:szCs w:val="28"/>
          <w14:textFill>
            <w14:solidFill>
              <w14:schemeClr w14:val="tx1"/>
            </w14:solidFill>
          </w14:textFill>
        </w:rPr>
        <w:t>》（提供证书扫描件，原件备查）。</w:t>
      </w:r>
    </w:p>
    <w:p w14:paraId="7FB17497">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（4）本项目不接受进口产品参与投标，不接受联合体投标，不允许转包、分包（由供应商在《政府采购投标及履约承诺函》中作出声明）。</w:t>
      </w:r>
    </w:p>
    <w:p w14:paraId="55D2CFC6">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（5）参与本项目投标前三年内，在经营活动中没有重大违法记录（由投标人在《政府投标及履约承诺函》中作出声明）。</w:t>
      </w:r>
    </w:p>
    <w:p w14:paraId="1379AFC8">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（6）参与本项目政府采购活动时不存在被有关部门禁止参与政府采购活动且在有效期内的情况（由投标人在《政府采购投标及履约承诺函》中作出声明）。</w:t>
      </w:r>
    </w:p>
    <w:p w14:paraId="3E593EC2">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7）不同供应商的法定代表人、主要经营负责人、项目投标授权代表人、项目负责人、主要技术人员不得为同一人、属同一单位或者在同一单位缴纳社会保险；不同投标供应商的投标文件不得由同一单位或者同一人编制；单位负责人为同一人或者存在直接控股、管理关系的不同供应商，不得参加本项目政府采购活动（由供应商填写《供应商基本情况表》相关信息，并在《政府采购投标及履约承诺函》中作出声明）。</w:t>
      </w:r>
    </w:p>
    <w:p w14:paraId="00C96DAD">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（8）为采购项目提供整体设计、规范编制或者项目管理、监理、检测等服务的供应商，不得再参加该采购项目的其他采购活动（由供应商在《政府采购投标及履约承诺函》中作出声明）。</w:t>
      </w:r>
    </w:p>
    <w:p w14:paraId="4A81271E">
      <w:pPr>
        <w:spacing w:line="50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附件：</w:t>
      </w:r>
    </w:p>
    <w:p w14:paraId="57C67640">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1.开标一览表</w:t>
      </w:r>
    </w:p>
    <w:tbl>
      <w:tblPr>
        <w:tblStyle w:val="15"/>
        <w:tblW w:w="89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4"/>
        <w:gridCol w:w="3092"/>
        <w:gridCol w:w="1840"/>
        <w:gridCol w:w="1149"/>
        <w:gridCol w:w="923"/>
      </w:tblGrid>
      <w:tr w14:paraId="49033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1944" w:type="dxa"/>
            <w:tcBorders>
              <w:tl2br w:val="nil"/>
              <w:tr2bl w:val="nil"/>
            </w:tcBorders>
            <w:vAlign w:val="center"/>
          </w:tcPr>
          <w:p w14:paraId="73B35E12">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项目编号</w:t>
            </w:r>
          </w:p>
        </w:tc>
        <w:tc>
          <w:tcPr>
            <w:tcW w:w="3092" w:type="dxa"/>
            <w:tcBorders>
              <w:tl2br w:val="nil"/>
              <w:tr2bl w:val="nil"/>
            </w:tcBorders>
            <w:vAlign w:val="center"/>
          </w:tcPr>
          <w:p w14:paraId="432CDD2A">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项目名称</w:t>
            </w:r>
          </w:p>
        </w:tc>
        <w:tc>
          <w:tcPr>
            <w:tcW w:w="1840" w:type="dxa"/>
            <w:tcBorders>
              <w:tl2br w:val="nil"/>
              <w:tr2bl w:val="nil"/>
            </w:tcBorders>
            <w:vAlign w:val="center"/>
          </w:tcPr>
          <w:p w14:paraId="2B2D5B37">
            <w:pPr>
              <w:tabs>
                <w:tab w:val="left" w:pos="654"/>
                <w:tab w:val="left" w:pos="1734"/>
                <w:tab w:val="left" w:pos="2814"/>
                <w:tab w:val="left" w:pos="3894"/>
                <w:tab w:val="left" w:pos="5334"/>
                <w:tab w:val="left" w:pos="6414"/>
                <w:tab w:val="left" w:pos="7254"/>
                <w:tab w:val="left" w:pos="8574"/>
                <w:tab w:val="left" w:pos="9654"/>
              </w:tabs>
              <w:spacing w:line="0" w:lineRule="atLeast"/>
              <w:jc w:val="center"/>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单价</w:t>
            </w:r>
          </w:p>
          <w:p w14:paraId="06112759">
            <w:pPr>
              <w:tabs>
                <w:tab w:val="left" w:pos="654"/>
                <w:tab w:val="left" w:pos="1734"/>
                <w:tab w:val="left" w:pos="2814"/>
                <w:tab w:val="left" w:pos="3894"/>
                <w:tab w:val="left" w:pos="5334"/>
                <w:tab w:val="left" w:pos="6414"/>
                <w:tab w:val="left" w:pos="7254"/>
                <w:tab w:val="left" w:pos="8574"/>
                <w:tab w:val="left" w:pos="9654"/>
              </w:tabs>
              <w:spacing w:line="0" w:lineRule="atLeast"/>
              <w:jc w:val="center"/>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（元/份）</w:t>
            </w:r>
          </w:p>
        </w:tc>
        <w:tc>
          <w:tcPr>
            <w:tcW w:w="1149" w:type="dxa"/>
            <w:tcBorders>
              <w:tl2br w:val="nil"/>
              <w:tr2bl w:val="nil"/>
            </w:tcBorders>
            <w:vAlign w:val="center"/>
          </w:tcPr>
          <w:p w14:paraId="5B1F370E">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r>
              <w:rPr>
                <w:rFonts w:hint="eastAsia" w:eastAsia="仿宋_GB2312" w:asciiTheme="minorHAnsi" w:hAnsiTheme="minorHAnsi" w:cstheme="minorHAnsi"/>
                <w:b/>
                <w:bCs/>
                <w:color w:val="000000" w:themeColor="text1"/>
                <w:sz w:val="28"/>
                <w:szCs w:val="28"/>
                <w14:textFill>
                  <w14:solidFill>
                    <w14:schemeClr w14:val="tx1"/>
                  </w14:solidFill>
                </w14:textFill>
              </w:rPr>
              <w:t>兑换</w:t>
            </w:r>
            <w:r>
              <w:rPr>
                <w:rFonts w:hint="eastAsia" w:ascii="仿宋_GB2312" w:hAnsi="仿宋_GB2312" w:eastAsia="仿宋_GB2312" w:cs="仿宋_GB2312"/>
                <w:b/>
                <w:bCs/>
                <w:color w:val="000000" w:themeColor="text1"/>
                <w:sz w:val="28"/>
                <w:szCs w:val="28"/>
                <w14:textFill>
                  <w14:solidFill>
                    <w14:schemeClr w14:val="tx1"/>
                  </w14:solidFill>
                </w14:textFill>
              </w:rPr>
              <w:t>率</w:t>
            </w:r>
          </w:p>
        </w:tc>
        <w:tc>
          <w:tcPr>
            <w:tcW w:w="923" w:type="dxa"/>
            <w:tcBorders>
              <w:tl2br w:val="nil"/>
              <w:tr2bl w:val="nil"/>
            </w:tcBorders>
            <w:vAlign w:val="center"/>
          </w:tcPr>
          <w:p w14:paraId="578FF6FD">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备注</w:t>
            </w:r>
          </w:p>
        </w:tc>
      </w:tr>
      <w:tr w14:paraId="59139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1944" w:type="dxa"/>
            <w:tcBorders>
              <w:tl2br w:val="nil"/>
              <w:tr2bl w:val="nil"/>
            </w:tcBorders>
            <w:vAlign w:val="center"/>
          </w:tcPr>
          <w:p w14:paraId="1C9961BB">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p>
        </w:tc>
        <w:tc>
          <w:tcPr>
            <w:tcW w:w="3092" w:type="dxa"/>
            <w:tcBorders>
              <w:tl2br w:val="nil"/>
              <w:tr2bl w:val="nil"/>
            </w:tcBorders>
            <w:vAlign w:val="center"/>
          </w:tcPr>
          <w:p w14:paraId="4346F1C4">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p>
        </w:tc>
        <w:tc>
          <w:tcPr>
            <w:tcW w:w="1840" w:type="dxa"/>
            <w:tcBorders>
              <w:tl2br w:val="nil"/>
              <w:tr2bl w:val="nil"/>
            </w:tcBorders>
            <w:vAlign w:val="center"/>
          </w:tcPr>
          <w:p w14:paraId="13B5B3D6">
            <w:pPr>
              <w:tabs>
                <w:tab w:val="left" w:pos="654"/>
                <w:tab w:val="left" w:pos="1734"/>
                <w:tab w:val="left" w:pos="2814"/>
                <w:tab w:val="left" w:pos="3894"/>
                <w:tab w:val="left" w:pos="5334"/>
                <w:tab w:val="left" w:pos="6414"/>
                <w:tab w:val="left" w:pos="7254"/>
                <w:tab w:val="left" w:pos="8574"/>
                <w:tab w:val="left" w:pos="9654"/>
              </w:tabs>
              <w:spacing w:line="0" w:lineRule="atLeast"/>
              <w:jc w:val="center"/>
              <w:rPr>
                <w:rFonts w:ascii="仿宋_GB2312" w:hAnsi="仿宋_GB2312" w:eastAsia="仿宋_GB2312" w:cs="仿宋_GB2312"/>
                <w:b/>
                <w:bCs/>
                <w:color w:val="000000" w:themeColor="text1"/>
                <w:sz w:val="28"/>
                <w:szCs w:val="28"/>
                <w14:textFill>
                  <w14:solidFill>
                    <w14:schemeClr w14:val="tx1"/>
                  </w14:solidFill>
                </w14:textFill>
              </w:rPr>
            </w:pPr>
          </w:p>
        </w:tc>
        <w:tc>
          <w:tcPr>
            <w:tcW w:w="1149" w:type="dxa"/>
            <w:tcBorders>
              <w:tl2br w:val="nil"/>
              <w:tr2bl w:val="nil"/>
            </w:tcBorders>
            <w:vAlign w:val="center"/>
          </w:tcPr>
          <w:p w14:paraId="3CC0E518">
            <w:pPr>
              <w:tabs>
                <w:tab w:val="left" w:pos="654"/>
                <w:tab w:val="left" w:pos="1734"/>
                <w:tab w:val="left" w:pos="2814"/>
                <w:tab w:val="left" w:pos="3894"/>
                <w:tab w:val="left" w:pos="5334"/>
                <w:tab w:val="left" w:pos="6414"/>
                <w:tab w:val="left" w:pos="7254"/>
                <w:tab w:val="left" w:pos="8574"/>
                <w:tab w:val="left" w:pos="9654"/>
              </w:tabs>
              <w:jc w:val="center"/>
              <w:rPr>
                <w:rFonts w:eastAsia="仿宋_GB2312" w:asciiTheme="minorHAnsi" w:hAnsiTheme="minorHAnsi" w:cstheme="minorHAnsi"/>
                <w:b/>
                <w:bCs/>
                <w:color w:val="000000" w:themeColor="text1"/>
                <w:sz w:val="28"/>
                <w:szCs w:val="28"/>
                <w14:textFill>
                  <w14:solidFill>
                    <w14:schemeClr w14:val="tx1"/>
                  </w14:solidFill>
                </w14:textFill>
              </w:rPr>
            </w:pPr>
          </w:p>
        </w:tc>
        <w:tc>
          <w:tcPr>
            <w:tcW w:w="923" w:type="dxa"/>
            <w:tcBorders>
              <w:tl2br w:val="nil"/>
              <w:tr2bl w:val="nil"/>
            </w:tcBorders>
            <w:vAlign w:val="center"/>
          </w:tcPr>
          <w:p w14:paraId="4F21A714">
            <w:pPr>
              <w:tabs>
                <w:tab w:val="left" w:pos="654"/>
                <w:tab w:val="left" w:pos="1734"/>
                <w:tab w:val="left" w:pos="2814"/>
                <w:tab w:val="left" w:pos="3894"/>
                <w:tab w:val="left" w:pos="5334"/>
                <w:tab w:val="left" w:pos="6414"/>
                <w:tab w:val="left" w:pos="7254"/>
                <w:tab w:val="left" w:pos="8574"/>
                <w:tab w:val="left" w:pos="9654"/>
              </w:tabs>
              <w:jc w:val="center"/>
              <w:rPr>
                <w:rFonts w:ascii="仿宋_GB2312" w:hAnsi="仿宋_GB2312" w:eastAsia="仿宋_GB2312" w:cs="仿宋_GB2312"/>
                <w:b/>
                <w:bCs/>
                <w:color w:val="000000" w:themeColor="text1"/>
                <w:sz w:val="28"/>
                <w:szCs w:val="28"/>
                <w14:textFill>
                  <w14:solidFill>
                    <w14:schemeClr w14:val="tx1"/>
                  </w14:solidFill>
                </w14:textFill>
              </w:rPr>
            </w:pPr>
          </w:p>
        </w:tc>
      </w:tr>
    </w:tbl>
    <w:p w14:paraId="5E9CFC03">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w:t>
      </w:r>
      <w:r>
        <w:rPr>
          <w:rFonts w:ascii="仿宋_GB2312" w:hAnsi="仿宋_GB2312" w:eastAsia="仿宋_GB2312" w:cs="仿宋_GB2312"/>
          <w:color w:val="000000" w:themeColor="text1"/>
          <w:sz w:val="28"/>
          <w:szCs w:val="28"/>
          <w14:textFill>
            <w14:solidFill>
              <w14:schemeClr w14:val="tx1"/>
            </w14:solidFill>
          </w14:textFill>
        </w:rPr>
        <w:t>1）报价要求：本项目投标报价采用兑换率作为报价方式，0＜兑换率≤1，且按四舍五入法计算最多保留四位小数；如0.9900、0.8500、0.8000等，未按此要求报价的将视为无效投标</w:t>
      </w:r>
      <w:r>
        <w:rPr>
          <w:rFonts w:hint="eastAsia" w:ascii="仿宋_GB2312" w:hAnsi="仿宋_GB2312" w:eastAsia="仿宋_GB2312" w:cs="仿宋_GB2312"/>
          <w:color w:val="000000" w:themeColor="text1"/>
          <w:sz w:val="28"/>
          <w:szCs w:val="28"/>
          <w14:textFill>
            <w14:solidFill>
              <w14:schemeClr w14:val="tx1"/>
            </w14:solidFill>
          </w14:textFill>
        </w:rPr>
        <w:t>。</w:t>
      </w:r>
    </w:p>
    <w:p w14:paraId="477CDEEC">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w:t>
      </w:r>
      <w:r>
        <w:rPr>
          <w:rFonts w:ascii="仿宋_GB2312" w:hAnsi="仿宋_GB2312" w:eastAsia="仿宋_GB2312" w:cs="仿宋_GB2312"/>
          <w:color w:val="000000" w:themeColor="text1"/>
          <w:sz w:val="28"/>
          <w:szCs w:val="28"/>
          <w14:textFill>
            <w14:solidFill>
              <w14:schemeClr w14:val="tx1"/>
            </w14:solidFill>
          </w14:textFill>
        </w:rPr>
        <w:t>2）</w:t>
      </w:r>
      <w:r>
        <w:rPr>
          <w:rFonts w:hint="eastAsia" w:ascii="仿宋_GB2312" w:hAnsi="仿宋_GB2312" w:eastAsia="仿宋_GB2312" w:cs="仿宋_GB2312"/>
          <w:color w:val="000000" w:themeColor="text1"/>
          <w:sz w:val="28"/>
          <w:szCs w:val="28"/>
          <w14:textFill>
            <w14:solidFill>
              <w14:schemeClr w14:val="tx1"/>
            </w14:solidFill>
          </w14:textFill>
        </w:rPr>
        <w:t>兑换率</w:t>
      </w:r>
      <w:r>
        <w:rPr>
          <w:rFonts w:ascii="仿宋_GB2312" w:hAnsi="仿宋_GB2312" w:eastAsia="仿宋_GB2312" w:cs="仿宋_GB2312"/>
          <w:color w:val="000000" w:themeColor="text1"/>
          <w:sz w:val="28"/>
          <w:szCs w:val="28"/>
          <w14:textFill>
            <w14:solidFill>
              <w14:schemeClr w14:val="tx1"/>
            </w14:solidFill>
          </w14:textFill>
        </w:rPr>
        <w:t>=</w:t>
      </w:r>
      <w:r>
        <w:rPr>
          <w:rFonts w:hint="eastAsia" w:ascii="仿宋_GB2312" w:hAnsi="仿宋_GB2312" w:eastAsia="仿宋_GB2312" w:cs="仿宋_GB2312"/>
          <w:color w:val="000000" w:themeColor="text1"/>
          <w:sz w:val="28"/>
          <w:szCs w:val="28"/>
          <w14:textFill>
            <w14:solidFill>
              <w14:schemeClr w14:val="tx1"/>
            </w14:solidFill>
          </w14:textFill>
        </w:rPr>
        <w:t>500</w:t>
      </w:r>
      <w:r>
        <w:rPr>
          <w:rFonts w:ascii="仿宋_GB2312" w:hAnsi="仿宋_GB2312" w:eastAsia="仿宋_GB2312" w:cs="仿宋_GB2312"/>
          <w:color w:val="000000" w:themeColor="text1"/>
          <w:sz w:val="28"/>
          <w:szCs w:val="28"/>
          <w14:textFill>
            <w14:solidFill>
              <w14:schemeClr w14:val="tx1"/>
            </w14:solidFill>
          </w14:textFill>
        </w:rPr>
        <w:t>/商品实际售价，商品实际售价指的是供应商销售端的商品价格。</w:t>
      </w:r>
    </w:p>
    <w:p w14:paraId="1895ACFF">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示例：若某投标人投标报价兑换率填报0.95</w:t>
      </w:r>
      <w:r>
        <w:rPr>
          <w:rFonts w:ascii="仿宋_GB2312" w:hAnsi="仿宋_GB2312" w:eastAsia="仿宋_GB2312" w:cs="仿宋_GB2312"/>
          <w:bCs/>
          <w:color w:val="000000" w:themeColor="text1"/>
          <w:sz w:val="28"/>
          <w:szCs w:val="28"/>
          <w14:textFill>
            <w14:solidFill>
              <w14:schemeClr w14:val="tx1"/>
            </w14:solidFill>
          </w14:textFill>
        </w:rPr>
        <w:t>，则实际供货价格（含税）=</w:t>
      </w:r>
      <w:r>
        <w:rPr>
          <w:rFonts w:hint="eastAsia" w:ascii="仿宋_GB2312" w:hAnsi="仿宋_GB2312" w:eastAsia="仿宋_GB2312" w:cs="仿宋_GB2312"/>
          <w:bCs/>
          <w:color w:val="000000" w:themeColor="text1"/>
          <w:sz w:val="28"/>
          <w:szCs w:val="28"/>
          <w14:textFill>
            <w14:solidFill>
              <w14:schemeClr w14:val="tx1"/>
            </w14:solidFill>
          </w14:textFill>
        </w:rPr>
        <w:t>500/0.95</w:t>
      </w:r>
      <w:r>
        <w:rPr>
          <w:rFonts w:ascii="仿宋_GB2312" w:hAnsi="仿宋_GB2312" w:eastAsia="仿宋_GB2312" w:cs="仿宋_GB2312"/>
          <w:bCs/>
          <w:color w:val="000000" w:themeColor="text1"/>
          <w:sz w:val="28"/>
          <w:szCs w:val="28"/>
          <w14:textFill>
            <w14:solidFill>
              <w14:schemeClr w14:val="tx1"/>
            </w14:solidFill>
          </w14:textFill>
        </w:rPr>
        <w:t>。</w:t>
      </w:r>
    </w:p>
    <w:p w14:paraId="411A7878">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3）本项目投标报价包含但不限于所有商品成本、综合服务费用、利润、税金及项目包含的所有风险、责任、权利、义务等所应有的全部费用，及本项目所要求的伴随服务等全过程产生的所有成本和费用以及一切税费。</w:t>
      </w:r>
    </w:p>
    <w:p w14:paraId="2F8C7886">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（4）支付标准单价=500元/份，采购人根据实际采购的商品数量进行结算，支付上限为775000.00元。</w:t>
      </w:r>
    </w:p>
    <w:p w14:paraId="3AF879DB">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（5）投标人应根据自身成本自行填报 “兑换率”，兑换率作为价格分评审的唯一依据，仅作为价格分的计算基数，不作为实际结算费率。应包括服务成本、法定税费和企业的利润，但不得以低于其成本的报价投标。</w:t>
      </w:r>
    </w:p>
    <w:p w14:paraId="6967A3D8">
      <w:pPr>
        <w:pStyle w:val="7"/>
        <w:rPr>
          <w:color w:val="000000" w:themeColor="text1"/>
          <w14:textFill>
            <w14:solidFill>
              <w14:schemeClr w14:val="tx1"/>
            </w14:solidFill>
          </w14:textFill>
        </w:rPr>
      </w:pPr>
    </w:p>
    <w:p w14:paraId="480574C7">
      <w:pPr>
        <w:spacing w:line="5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2.食品质量安全承诺书</w:t>
      </w:r>
    </w:p>
    <w:p w14:paraId="145DD1EF">
      <w:pPr>
        <w:spacing w:line="520" w:lineRule="atLeas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u w:val="single"/>
          <w14:textFill>
            <w14:solidFill>
              <w14:schemeClr w14:val="tx1"/>
            </w14:solidFill>
          </w14:textFill>
        </w:rPr>
        <w:t>致：深圳市龙岗区布吉街道办事处：</w:t>
      </w:r>
    </w:p>
    <w:p w14:paraId="6E4B76EB">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我公司清楚作为供货商需承担的法律责任和社会责任，将加强自律，并郑重承诺如下：</w:t>
      </w:r>
    </w:p>
    <w:p w14:paraId="601DFEF2">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一、严格遵守《中华人民共和国食品安全法》、《中华人民共和国食品安全实施条例》、《国家食品卫生标准》等法律、法规和规章的规定从事经营活动，对贵单位和社会公众负责，保证食品安全，接受社会监督，承担社会责任。</w:t>
      </w:r>
    </w:p>
    <w:p w14:paraId="79CA6134">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二、保证在许可范围内提供符合食品卫生标准的货源，且提供每批次食品应由有资质的检验机构出具的检验合格证。</w:t>
      </w:r>
    </w:p>
    <w:p w14:paraId="63FFF92E">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三、保证食品原料来源合法、安全，不提供以下食品：</w:t>
      </w:r>
    </w:p>
    <w:p w14:paraId="6E074C20">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（一）无证、照的供应商、农贸市场等销售的食品、食品添加剂和一次性餐具等食品相关产品。</w:t>
      </w:r>
    </w:p>
    <w:p w14:paraId="29004F7A">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（二）过期、变质或预包装无中文标识、无生产厂家、生产日期、标注内容不齐全、包装不完整或潲水油等假冒伪劣食用品。</w:t>
      </w:r>
    </w:p>
    <w:p w14:paraId="0BF5CBDF">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（三）《食品安全法》第二十八条禁止生产经营的其他食品。</w:t>
      </w:r>
    </w:p>
    <w:p w14:paraId="6F9AE79A">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四、不弄虚作假，造成机关食堂食品安全问题的，我公司承担一切法律后果和赔偿责任；经检测不合格的产品，同意一律当场销毁。</w:t>
      </w:r>
    </w:p>
    <w:p w14:paraId="24B3E4A0">
      <w:pPr>
        <w:spacing w:line="520" w:lineRule="exact"/>
        <w:ind w:firstLine="140" w:firstLineChars="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五、接收和配合市场监督管理部门对本单位的食品安全监督检查，如实提供有关情况资料，并落实监督部门提出的整改意见，发现食品安全问题及时报告。</w:t>
      </w:r>
    </w:p>
    <w:p w14:paraId="24569456">
      <w:pPr>
        <w:spacing w:line="520" w:lineRule="exact"/>
        <w:ind w:firstLine="700" w:firstLineChars="2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本公司自愿签署以上承诺，并将严格履行承诺，如有违发，愿意承担相应的法律责任，并接受处罚。欢迎社会各界予以监督。 </w:t>
      </w:r>
    </w:p>
    <w:p w14:paraId="2885624A">
      <w:pPr>
        <w:spacing w:line="520" w:lineRule="exact"/>
        <w:ind w:firstLine="5460" w:firstLineChars="1950"/>
        <w:rPr>
          <w:rFonts w:ascii="仿宋_GB2312" w:hAnsi="仿宋_GB2312" w:eastAsia="仿宋_GB2312" w:cs="仿宋_GB2312"/>
          <w:color w:val="000000" w:themeColor="text1"/>
          <w:sz w:val="28"/>
          <w:szCs w:val="28"/>
          <w14:textFill>
            <w14:solidFill>
              <w14:schemeClr w14:val="tx1"/>
            </w14:solidFill>
          </w14:textFill>
        </w:rPr>
      </w:pPr>
    </w:p>
    <w:p w14:paraId="20186975">
      <w:pPr>
        <w:spacing w:line="520" w:lineRule="exact"/>
        <w:ind w:firstLine="5460" w:firstLineChars="1950"/>
        <w:rPr>
          <w:rFonts w:ascii="仿宋_GB2312" w:hAnsi="仿宋_GB2312" w:eastAsia="仿宋_GB2312" w:cs="仿宋_GB2312"/>
          <w:color w:val="000000" w:themeColor="text1"/>
          <w:sz w:val="28"/>
          <w:szCs w:val="28"/>
          <w14:textFill>
            <w14:solidFill>
              <w14:schemeClr w14:val="tx1"/>
            </w14:solidFill>
          </w14:textFill>
        </w:rPr>
      </w:pPr>
    </w:p>
    <w:p w14:paraId="6392664C">
      <w:pPr>
        <w:spacing w:line="520" w:lineRule="exact"/>
        <w:ind w:firstLine="5460" w:firstLineChars="19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投标单位名称（盖章）：                  </w:t>
      </w:r>
    </w:p>
    <w:p w14:paraId="026B65AD">
      <w:pPr>
        <w:spacing w:line="520" w:lineRule="exact"/>
        <w:ind w:firstLine="5600" w:firstLineChars="2000"/>
        <w:rPr>
          <w:rFonts w:ascii="仿宋_GB2312" w:hAnsi="仿宋_GB2312" w:eastAsia="仿宋_GB2312" w:cs="仿宋_GB2312"/>
          <w:color w:val="000000" w:themeColor="text1"/>
          <w:sz w:val="28"/>
          <w:szCs w:val="28"/>
          <w14:textFill>
            <w14:solidFill>
              <w14:schemeClr w14:val="tx1"/>
            </w14:solidFill>
          </w14:textFill>
        </w:rPr>
        <w:sectPr>
          <w:footerReference r:id="rId3" w:type="default"/>
          <w:pgSz w:w="11906" w:h="16838"/>
          <w:pgMar w:top="1134" w:right="1587" w:bottom="851" w:left="1587" w:header="851" w:footer="992" w:gutter="0"/>
          <w:cols w:space="0" w:num="1"/>
          <w:docGrid w:type="lines" w:linePitch="312" w:charSpace="0"/>
        </w:sectPr>
      </w:pPr>
      <w:r>
        <w:rPr>
          <w:rFonts w:hint="eastAsia" w:ascii="仿宋_GB2312" w:hAnsi="仿宋_GB2312" w:eastAsia="仿宋_GB2312" w:cs="仿宋_GB2312"/>
          <w:color w:val="000000" w:themeColor="text1"/>
          <w:sz w:val="28"/>
          <w:szCs w:val="28"/>
          <w14:textFill>
            <w14:solidFill>
              <w14:schemeClr w14:val="tx1"/>
            </w14:solidFill>
          </w14:textFill>
        </w:rPr>
        <w:t>年     月     日</w:t>
      </w:r>
    </w:p>
    <w:p w14:paraId="6D285F2F">
      <w:pPr>
        <w:spacing w:line="520" w:lineRule="atLeast"/>
        <w:outlineLvl w:val="0"/>
        <w:rPr>
          <w:rFonts w:ascii="仿宋_GB2312" w:hAnsi="仿宋_GB2312" w:eastAsia="仿宋_GB2312" w:cs="仿宋_GB2312"/>
          <w:b/>
          <w:bCs/>
          <w:color w:val="000000" w:themeColor="text1"/>
          <w:sz w:val="28"/>
          <w:szCs w:val="28"/>
          <w14:textFill>
            <w14:solidFill>
              <w14:schemeClr w14:val="tx1"/>
            </w14:solidFill>
          </w14:textFill>
        </w:rPr>
      </w:pPr>
      <w:r>
        <w:rPr>
          <w:rFonts w:ascii="仿宋_GB2312" w:hAnsi="仿宋_GB2312" w:eastAsia="仿宋_GB2312" w:cs="仿宋_GB2312"/>
          <w:b/>
          <w:bCs/>
          <w:color w:val="000000" w:themeColor="text1"/>
          <w:sz w:val="28"/>
          <w:szCs w:val="28"/>
          <w14:textFill>
            <w14:solidFill>
              <w14:schemeClr w14:val="tx1"/>
            </w14:solidFill>
          </w14:textFill>
        </w:rPr>
        <w:t>三、商务要求</w:t>
      </w:r>
    </w:p>
    <w:p w14:paraId="40D876E7">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（一）项目交货期限：自采购人提供相应职工资料开始提供服务，于2个月内完成交货</w:t>
      </w:r>
      <w:r>
        <w:rPr>
          <w:rFonts w:ascii="仿宋_GB2312" w:hAnsi="仿宋_GB2312" w:eastAsia="仿宋_GB2312" w:cs="仿宋_GB2312"/>
          <w:color w:val="000000" w:themeColor="text1"/>
          <w:sz w:val="28"/>
          <w:szCs w:val="28"/>
          <w14:textFill>
            <w14:solidFill>
              <w14:schemeClr w14:val="tx1"/>
            </w14:solidFill>
          </w14:textFill>
        </w:rPr>
        <w:t>。</w:t>
      </w:r>
    </w:p>
    <w:p w14:paraId="4B564AD1">
      <w:pPr>
        <w:pStyle w:val="8"/>
        <w:spacing w:after="0" w:line="510" w:lineRule="exact"/>
        <w:ind w:firstLine="560" w:firstLineChars="200"/>
        <w:jc w:val="lef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（二）项目交货地点：由采购人的职工分别在线上平台提交的相应收货地址。</w:t>
      </w:r>
    </w:p>
    <w:p w14:paraId="48811808">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（三）交货方式：线上下单免费配送到家的形式，由采购人的职工在规定时间内下单，在收到订单后100小时内通过京东/顺丰物流的形式，分别配送至职工填写的实际收货地址。</w:t>
      </w:r>
      <w:r>
        <w:rPr>
          <w:rFonts w:ascii="仿宋_GB2312" w:hAnsi="仿宋_GB2312" w:eastAsia="仿宋_GB2312" w:cs="仿宋_GB2312"/>
          <w:color w:val="000000" w:themeColor="text1"/>
          <w:sz w:val="28"/>
          <w:szCs w:val="28"/>
          <w14:textFill>
            <w14:solidFill>
              <w14:schemeClr w14:val="tx1"/>
            </w14:solidFill>
          </w14:textFill>
        </w:rPr>
        <w:t>具体发放以实际订单数量为准。</w:t>
      </w:r>
    </w:p>
    <w:p w14:paraId="1B83B829">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（四）付款期限和方式：</w:t>
      </w:r>
    </w:p>
    <w:p w14:paraId="273CBACA">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实际支付金额=5</w:t>
      </w:r>
      <w:r>
        <w:rPr>
          <w:rFonts w:ascii="仿宋_GB2312" w:hAnsi="仿宋_GB2312" w:eastAsia="仿宋_GB2312" w:cs="仿宋_GB2312"/>
          <w:color w:val="000000" w:themeColor="text1"/>
          <w:sz w:val="28"/>
          <w:szCs w:val="28"/>
          <w14:textFill>
            <w14:solidFill>
              <w14:schemeClr w14:val="tx1"/>
            </w14:solidFill>
          </w14:textFill>
        </w:rPr>
        <w:t>00</w:t>
      </w:r>
      <w:r>
        <w:rPr>
          <w:rFonts w:hint="eastAsia" w:ascii="仿宋_GB2312" w:hAnsi="仿宋_GB2312" w:eastAsia="仿宋_GB2312" w:cs="仿宋_GB2312"/>
          <w:color w:val="000000" w:themeColor="text1"/>
          <w:sz w:val="28"/>
          <w:szCs w:val="28"/>
          <w14:textFill>
            <w14:solidFill>
              <w14:schemeClr w14:val="tx1"/>
            </w14:solidFill>
          </w14:textFill>
        </w:rPr>
        <w:t>元/份*实际结算数量，其他内容以合同签订为准。</w:t>
      </w:r>
    </w:p>
    <w:p w14:paraId="5FD68C35">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ascii="仿宋_GB2312" w:hAnsi="仿宋_GB2312" w:eastAsia="仿宋_GB2312" w:cs="仿宋_GB2312"/>
          <w:color w:val="000000" w:themeColor="text1"/>
          <w:sz w:val="28"/>
          <w:szCs w:val="28"/>
          <w14:textFill>
            <w14:solidFill>
              <w14:schemeClr w14:val="tx1"/>
            </w14:solidFill>
          </w14:textFill>
        </w:rPr>
        <w:t>中标人与采购人确认实际采购数量，采购人收到并验收合同所涉的全部货物，同时，中标人提供等额增值税发票后，采购人按照政府财政审批程序申请合同所涉的款项，并且在财政资金审核完毕资金到位后，采购人于10个工作日内通过转账形式一次性向中标人支付款项。中标人理解采购人支付款项需要经过一系列的审批流程，因中标人原因、财政支付程序或审计原因导致付款迟延的，采购人不承担任何责任。</w:t>
      </w:r>
    </w:p>
    <w:p w14:paraId="44CDA944">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（五）质量要求：</w:t>
      </w:r>
    </w:p>
    <w:p w14:paraId="20E371A4">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产品保质期从发放之日起计须剩余保质期不少于8个月</w:t>
      </w:r>
      <w:r>
        <w:rPr>
          <w:rFonts w:hint="eastAsia" w:ascii="仿宋_GB2312" w:hAnsi="仿宋_GB2312" w:eastAsia="仿宋_GB2312" w:cs="仿宋_GB2312"/>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14:textFill>
            <w14:solidFill>
              <w14:schemeClr w14:val="tx1"/>
            </w14:solidFill>
          </w14:textFill>
        </w:rPr>
        <w:t>食品的剩余保质期从发放之日起计，不少于该产品包装上所明确的时间的三分之二。</w:t>
      </w:r>
      <w:r>
        <w:rPr>
          <w:rFonts w:hint="eastAsia" w:ascii="仿宋_GB2312" w:hAnsi="仿宋_GB2312" w:eastAsia="仿宋_GB2312" w:cs="仿宋_GB2312"/>
          <w:color w:val="000000" w:themeColor="text1"/>
          <w:sz w:val="28"/>
          <w:szCs w:val="28"/>
          <w14:textFill>
            <w14:solidFill>
              <w14:schemeClr w14:val="tx1"/>
            </w14:solidFill>
          </w14:textFill>
        </w:rPr>
        <w:t>若收到商品有质量缺陷、包装破损等问题，中标人必须当日给予及时退换。</w:t>
      </w:r>
    </w:p>
    <w:p w14:paraId="508B758C">
      <w:pPr>
        <w:pStyle w:val="7"/>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（六）验收标准：</w:t>
      </w:r>
    </w:p>
    <w:p w14:paraId="112954F4">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1.中标人须保证所投货物货源充足，不得缺货。</w:t>
      </w:r>
    </w:p>
    <w:p w14:paraId="79ACC6FD">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2.所提供货物的食品生产厂家须有 QS认证，能按批次检测产品，并提供产品批次检验资料。</w:t>
      </w:r>
    </w:p>
    <w:p w14:paraId="745ADA82">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3.货物包装要密封，无破损。凡由于包装不良造成的损失和由此产生的费用均由中标人承担。</w:t>
      </w:r>
    </w:p>
    <w:p w14:paraId="5C7D9E24">
      <w:pPr>
        <w:pStyle w:val="8"/>
        <w:spacing w:after="0"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ascii="仿宋_GB2312" w:hAnsi="仿宋_GB2312" w:eastAsia="仿宋_GB2312" w:cs="仿宋_GB2312"/>
          <w:color w:val="000000" w:themeColor="text1"/>
          <w:sz w:val="28"/>
          <w:szCs w:val="28"/>
          <w14:textFill>
            <w14:solidFill>
              <w14:schemeClr w14:val="tx1"/>
            </w14:solidFill>
          </w14:textFill>
        </w:rPr>
        <w:t>4</w:t>
      </w:r>
      <w:r>
        <w:rPr>
          <w:rFonts w:hint="eastAsia" w:ascii="仿宋_GB2312" w:hAnsi="仿宋_GB2312" w:eastAsia="仿宋_GB2312" w:cs="仿宋_GB2312"/>
          <w:color w:val="000000" w:themeColor="text1"/>
          <w:sz w:val="28"/>
          <w:szCs w:val="28"/>
          <w14:textFill>
            <w14:solidFill>
              <w14:schemeClr w14:val="tx1"/>
            </w14:solidFill>
          </w14:textFill>
        </w:rPr>
        <w:t>.</w:t>
      </w:r>
      <w:r>
        <w:rPr>
          <w:rFonts w:ascii="仿宋_GB2312" w:hAnsi="仿宋_GB2312" w:eastAsia="仿宋_GB2312" w:cs="仿宋_GB2312"/>
          <w:color w:val="000000" w:themeColor="text1"/>
          <w:sz w:val="28"/>
          <w:szCs w:val="28"/>
          <w14:textFill>
            <w14:solidFill>
              <w14:schemeClr w14:val="tx1"/>
            </w14:solidFill>
          </w14:textFill>
        </w:rPr>
        <w:t>中标人提供的产品必须符合国家的相关标准与要求，不得提供转基因食品或利用转基因食品原料加工的成品，国家出台新的更高标准的，以新的更高标准为准。</w:t>
      </w:r>
    </w:p>
    <w:p w14:paraId="5A28C117">
      <w:pPr>
        <w:pStyle w:val="8"/>
        <w:spacing w:after="0"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（七）售后服务：</w:t>
      </w:r>
    </w:p>
    <w:p w14:paraId="68846C6A">
      <w:pPr>
        <w:pStyle w:val="8"/>
        <w:spacing w:after="0"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在合同期内，一旦出现售后的问题，在采购人提出后，中标人应于</w:t>
      </w:r>
      <w:r>
        <w:rPr>
          <w:rFonts w:ascii="仿宋_GB2312" w:hAnsi="仿宋_GB2312" w:eastAsia="仿宋_GB2312" w:cs="仿宋_GB2312"/>
          <w:color w:val="000000" w:themeColor="text1"/>
          <w:sz w:val="28"/>
          <w:szCs w:val="28"/>
          <w14:textFill>
            <w14:solidFill>
              <w14:schemeClr w14:val="tx1"/>
            </w14:solidFill>
          </w14:textFill>
        </w:rPr>
        <w:t>2小时内响应，并在24小时内完成处理。</w:t>
      </w:r>
    </w:p>
    <w:p w14:paraId="3B400F47">
      <w:pPr>
        <w:pStyle w:val="7"/>
        <w:spacing w:line="510" w:lineRule="exact"/>
        <w:ind w:left="560"/>
      </w:pPr>
      <w:r>
        <w:rPr>
          <w:rFonts w:hint="eastAsia" w:ascii="仿宋_GB2312" w:hAnsi="仿宋_GB2312" w:eastAsia="仿宋_GB2312" w:cs="仿宋_GB2312"/>
          <w:color w:val="000000" w:themeColor="text1"/>
          <w:sz w:val="28"/>
          <w:szCs w:val="28"/>
          <w14:textFill>
            <w14:solidFill>
              <w14:schemeClr w14:val="tx1"/>
            </w14:solidFill>
          </w14:textFill>
        </w:rPr>
        <w:t>（八）违约条款：</w:t>
      </w:r>
    </w:p>
    <w:p w14:paraId="7BDA0450">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中标人在指定送货日期内每延迟一日交货的，应向采购人支付逾期交付部分货物合同总价款1%的违约金，但该项违约金总额不超过逾期交付部分货物合同总价款的5%。逾期交货超过三十日，且该逾期部分货物数量占合同总标的物数量三分之一以上（含三分之一）的，采购人有权单方解除合同。合同解除后，中标人应在5个工作日内返还采购人已支付的全部款项，并按照合同总价的5% 向采购人支付违约金。</w:t>
      </w:r>
    </w:p>
    <w:p w14:paraId="4CF7ADE6">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中标人提供的标的物经检验不符合合同约定或者货物规格、型号、品种等与合同约定不符的，采购人有权要求中标人在3日内采取更换、置换等补救措施。因采取补救措施导致延期交付的，中标人应按照本合同第1条的约定承担延期交付的违约责任。若中标人未在约定时间内采取有效补救措施，或标的物缺陷无法补救，致使不能实现合同目的的，采购人方可按本合同第1条约定行使解除权。</w:t>
      </w:r>
    </w:p>
    <w:p w14:paraId="16049EF6">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3.中标人未按合同约定提供售后服务的，接到采购人（会员）投诉的，经核实属实的，责任在中标人的，中标人按单笔会员金额*20%/每次（单笔会员金额：即会员此次购买商品总金额）向采购人支付违约金，违约金累计计算。</w:t>
      </w:r>
    </w:p>
    <w:p w14:paraId="34EF20DD">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4.中标人未经采购人书面同意将本合同义务部分或全部转让给第三方的，采购人有权单方解除合同。合同解除后，中标人应在5个工作日内返还采购人已支付的全部款项，并按照合同总价30% 向采购人支付违约金，并赔偿对采购人因此所造成的损失。</w:t>
      </w:r>
    </w:p>
    <w:p w14:paraId="28E06739">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因中标人自身原因单方终止合同履行的，采购人有权不予支付尚未支付的合同款项，同时采购人已支付的款项应无条件退回，中标人还应按照合同总价的10%向采购人支付违约金，并赔偿对采购人因此所造成的损失。</w:t>
      </w:r>
    </w:p>
    <w:p w14:paraId="76FB4FA9">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6.如因中标人提供的产品侵犯第三方知识产权或任何第三方向采购人提出的侵权诉讼或索赔，概由中标人承担一切处理、应诉和赔偿等法律责任，采购人有权单方解除合同，并无需支付任何合同款项(采购人已支付的全部款项中标人应无条件退回)，同时中标人还应按照合同总价的10%向采购人支付违约金，并赔偿对采购人因此所造成的损失。</w:t>
      </w:r>
    </w:p>
    <w:p w14:paraId="60A9522B">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7.中标人如有任何违反本合同所约定的保密条款的行为，采购人有权单方解除合同，并无需支付任何合同款项(采购人已支付的全部款项中标人应无条件退回)，同时中标人还应按照合同总价的10%向采购人支付违约金，并赔偿对采购人因此所造成的损失。</w:t>
      </w:r>
    </w:p>
    <w:p w14:paraId="5B2422C3">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8.中标人提供的产品存在严重质量问题或因质量问题引起中毒事件的，采购人有权单方面解除本合同，无需支付任何合同款项（采购人已支付的全部款项中标人应无条件退回），同时中标人还应按照合同总价的10%向采购人支付违约金，并赔偿对采购人因此所造成的损失。</w:t>
      </w:r>
    </w:p>
    <w:p w14:paraId="4E2BC64E">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9.因中标人违约导致采购人支出的律师费、诉讼费、保全费、担保费、公证费、鉴定费、差旅费等费用，由中标人承担。</w:t>
      </w:r>
    </w:p>
    <w:p w14:paraId="2EE8CCEC">
      <w:pPr>
        <w:pStyle w:val="7"/>
        <w:spacing w:after="0"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10.如发现中标人提供的线上平台的商品价格高于深圳市主流商场（如天虹、华润万家、沃尔玛等）、天猫旗舰店、京东自营店同款商品售卖价格（非促销价或折扣价）的平均值，中标人应在收到通知后5个工作日内，退还该商品价格高于市场价</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平均值</w:t>
      </w:r>
      <w:bookmarkStart w:id="3" w:name="_GoBack"/>
      <w:bookmarkEnd w:id="3"/>
      <w:r>
        <w:rPr>
          <w:rFonts w:hint="eastAsia" w:ascii="仿宋_GB2312" w:hAnsi="仿宋_GB2312" w:eastAsia="仿宋_GB2312" w:cs="仿宋_GB2312"/>
          <w:color w:val="000000" w:themeColor="text1"/>
          <w:sz w:val="28"/>
          <w:szCs w:val="28"/>
          <w14:textFill>
            <w14:solidFill>
              <w14:schemeClr w14:val="tx1"/>
            </w14:solidFill>
          </w14:textFill>
        </w:rPr>
        <w:t>的差额部分，并按该差价的5倍向采购人（会员）支付补偿金。</w:t>
      </w:r>
    </w:p>
    <w:p w14:paraId="209BE7B8">
      <w:pPr>
        <w:spacing w:line="510" w:lineRule="exact"/>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11.如发现中标人在产品中掺杂掺假、以假充真、以次充好或不合格产品冒充合格产品的，中标人应支付该商品总价10倍的违约金，并将违约金给采购人（会员）以作补偿，并赔偿对采购人造成的损失。</w:t>
      </w:r>
    </w:p>
    <w:p w14:paraId="0A818FE4">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（九）其他要求：</w:t>
      </w:r>
    </w:p>
    <w:p w14:paraId="2779C6AA">
      <w:pPr>
        <w:pStyle w:val="7"/>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1、保密义务：</w:t>
      </w:r>
    </w:p>
    <w:p w14:paraId="05C74160">
      <w:pPr>
        <w:pStyle w:val="7"/>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①除本合同另有约定外，中标人对其因履行本合同所知悉的与本项目相关的信息以及采购人其他未公开的信息，应当采取适当有效的方式予以保密。中标人仅得在本合同规定的范围内使用上述资料及信息，未经采购人事先书面同意，不得复制或披露给任何第三方。中标人对保密信息发生的被盗、泄露、或其他有损信息保密性的事件承担全部责任，因此给采购人造成损失的，中标人应予赔偿。</w:t>
      </w:r>
    </w:p>
    <w:p w14:paraId="4823BCA4">
      <w:pPr>
        <w:pStyle w:val="7"/>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②中标人在提供服务过程中接触或产生涉密数据的，应严格按《中华人民共和国保守国家秘密法》以及其他相关法律法规和制度执行。如由于中标人的原因而导致泄密的，中标人应承担一切法律责任。</w:t>
      </w:r>
    </w:p>
    <w:p w14:paraId="1E08C555">
      <w:pPr>
        <w:pStyle w:val="7"/>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③未经采购人书面同意，中标人不得出于任何目的向第三方泄露本合同的任何内容及本合同的签订、履行情况，国家司法机关或监管机构要求提供的除外。</w:t>
      </w:r>
    </w:p>
    <w:p w14:paraId="51871AFB">
      <w:pPr>
        <w:pStyle w:val="7"/>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④中标人承担的保密责任期限自本合同签署之日起至采购人公开有关的保密信息之日止。上述保密义务不因本合同的终止、全部或部分条款无效而终止或无效。</w:t>
      </w:r>
    </w:p>
    <w:p w14:paraId="4722E580">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2、不可抗力：在本合同履行期间，如</w:t>
      </w:r>
      <w:r>
        <w:rPr>
          <w:rFonts w:ascii="仿宋_GB2312" w:hAnsi="仿宋_GB2312" w:eastAsia="仿宋_GB2312" w:cs="仿宋_GB2312"/>
          <w:color w:val="000000" w:themeColor="text1"/>
          <w:sz w:val="28"/>
          <w:szCs w:val="28"/>
          <w14:textFill>
            <w14:solidFill>
              <w14:schemeClr w14:val="tx1"/>
            </w14:solidFill>
          </w14:textFill>
        </w:rPr>
        <w:t>中标人</w:t>
      </w:r>
      <w:r>
        <w:rPr>
          <w:rFonts w:hint="eastAsia" w:ascii="仿宋_GB2312" w:hAnsi="仿宋_GB2312" w:eastAsia="仿宋_GB2312" w:cs="仿宋_GB2312"/>
          <w:color w:val="000000" w:themeColor="text1"/>
          <w:sz w:val="28"/>
          <w:szCs w:val="28"/>
          <w14:textFill>
            <w14:solidFill>
              <w14:schemeClr w14:val="tx1"/>
            </w14:solidFill>
          </w14:textFill>
        </w:rPr>
        <w:t>、</w:t>
      </w:r>
      <w:r>
        <w:rPr>
          <w:rFonts w:ascii="仿宋_GB2312" w:hAnsi="仿宋_GB2312" w:eastAsia="仿宋_GB2312" w:cs="仿宋_GB2312"/>
          <w:color w:val="000000" w:themeColor="text1"/>
          <w:sz w:val="28"/>
          <w:szCs w:val="28"/>
          <w14:textFill>
            <w14:solidFill>
              <w14:schemeClr w14:val="tx1"/>
            </w14:solidFill>
          </w14:textFill>
        </w:rPr>
        <w:t>采购人</w:t>
      </w:r>
      <w:r>
        <w:rPr>
          <w:rFonts w:hint="eastAsia" w:ascii="仿宋_GB2312" w:hAnsi="仿宋_GB2312" w:eastAsia="仿宋_GB2312" w:cs="仿宋_GB2312"/>
          <w:color w:val="000000" w:themeColor="text1"/>
          <w:sz w:val="28"/>
          <w:szCs w:val="28"/>
          <w14:textFill>
            <w14:solidFill>
              <w14:schemeClr w14:val="tx1"/>
            </w14:solidFill>
          </w14:textFill>
        </w:rPr>
        <w:t>任何一方因战争(不论是否宣战)、动乱、地震、飓风、洪灾、台风、火山爆发、暴风雨、严重的火灾、政府行为或该方不能合理预见、不能避免并不能克服的任何其他不可抗力事件，致使该方不能全部或部分履行其合同义务或延迟履行合同义务，免除该方的违约责任。</w:t>
      </w:r>
    </w:p>
    <w:p w14:paraId="20CB42EF">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3、知识产权：</w:t>
      </w:r>
    </w:p>
    <w:p w14:paraId="30D37FBA">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①中标人提供的合同标的物需要使用第三方知识产权的，应取得权利人许可或者授权并由中标人承担费用。</w:t>
      </w:r>
    </w:p>
    <w:p w14:paraId="3CD7BF30">
      <w:pPr>
        <w:spacing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②中标人保证所提供的合同标的物不存在侵犯第三方合法权益 (包括但不限于著作权、商标权、专利权等知识产权和物权等)的情形。如果任何第三方提出侵权指控，中标人须与该第三方交涉并承担由此发生的一切责任、费用和赔偿。</w:t>
      </w:r>
    </w:p>
    <w:p w14:paraId="3BCE6C41">
      <w:pPr>
        <w:pStyle w:val="7"/>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4、争议的解决：双方因本合同而发生的争议，应首先由</w:t>
      </w:r>
      <w:r>
        <w:rPr>
          <w:rFonts w:ascii="仿宋_GB2312" w:hAnsi="仿宋_GB2312" w:eastAsia="仿宋_GB2312" w:cs="仿宋_GB2312"/>
          <w:color w:val="000000" w:themeColor="text1"/>
          <w:sz w:val="28"/>
          <w:szCs w:val="28"/>
          <w14:textFill>
            <w14:solidFill>
              <w14:schemeClr w14:val="tx1"/>
            </w14:solidFill>
          </w14:textFill>
        </w:rPr>
        <w:t>中标人</w:t>
      </w:r>
      <w:r>
        <w:rPr>
          <w:rFonts w:hint="eastAsia" w:ascii="仿宋_GB2312" w:hAnsi="仿宋_GB2312" w:eastAsia="仿宋_GB2312" w:cs="仿宋_GB2312"/>
          <w:color w:val="000000" w:themeColor="text1"/>
          <w:sz w:val="28"/>
          <w:szCs w:val="28"/>
          <w14:textFill>
            <w14:solidFill>
              <w14:schemeClr w14:val="tx1"/>
            </w14:solidFill>
          </w14:textFill>
        </w:rPr>
        <w:t>、</w:t>
      </w:r>
      <w:r>
        <w:rPr>
          <w:rFonts w:ascii="仿宋_GB2312" w:hAnsi="仿宋_GB2312" w:eastAsia="仿宋_GB2312" w:cs="仿宋_GB2312"/>
          <w:color w:val="000000" w:themeColor="text1"/>
          <w:sz w:val="28"/>
          <w:szCs w:val="28"/>
          <w14:textFill>
            <w14:solidFill>
              <w14:schemeClr w14:val="tx1"/>
            </w14:solidFill>
          </w14:textFill>
        </w:rPr>
        <w:t>采购人</w:t>
      </w:r>
      <w:r>
        <w:rPr>
          <w:rFonts w:hint="eastAsia" w:ascii="仿宋_GB2312" w:hAnsi="仿宋_GB2312" w:eastAsia="仿宋_GB2312" w:cs="仿宋_GB2312"/>
          <w:color w:val="000000" w:themeColor="text1"/>
          <w:sz w:val="28"/>
          <w:szCs w:val="28"/>
          <w14:textFill>
            <w14:solidFill>
              <w14:schemeClr w14:val="tx1"/>
            </w14:solidFill>
          </w14:textFill>
        </w:rPr>
        <w:t>双方协商解决。如协商不成的，任何一方可向深圳市龙岗区人民法院提起诉讼。</w:t>
      </w:r>
    </w:p>
    <w:p w14:paraId="791BCEF4">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p>
    <w:p w14:paraId="3ADF6293">
      <w:pPr>
        <w:spacing w:line="520" w:lineRule="atLeast"/>
        <w:outlineLvl w:val="0"/>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四、评标信息</w:t>
      </w:r>
    </w:p>
    <w:tbl>
      <w:tblPr>
        <w:tblStyle w:val="15"/>
        <w:tblW w:w="960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82"/>
        <w:gridCol w:w="1396"/>
        <w:gridCol w:w="709"/>
        <w:gridCol w:w="5289"/>
        <w:gridCol w:w="1326"/>
      </w:tblGrid>
      <w:tr w14:paraId="0979F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3" w:hRule="atLeast"/>
          <w:jc w:val="center"/>
        </w:trPr>
        <w:tc>
          <w:tcPr>
            <w:tcW w:w="8276" w:type="dxa"/>
            <w:gridSpan w:val="4"/>
            <w:vAlign w:val="center"/>
          </w:tcPr>
          <w:p w14:paraId="26D565AA">
            <w:pPr>
              <w:autoSpaceDE w:val="0"/>
              <w:autoSpaceDN w:val="0"/>
              <w:adjustRightInd w:val="0"/>
              <w:jc w:val="center"/>
              <w:rPr>
                <w:rFonts w:ascii="宋体" w:hAnsi="宋体" w:eastAsia="宋体" w:cs="宋体"/>
                <w:b/>
                <w:color w:val="000000" w:themeColor="text1"/>
                <w:lang w:val="zh-CN"/>
                <w14:textFill>
                  <w14:solidFill>
                    <w14:schemeClr w14:val="tx1"/>
                  </w14:solidFill>
                </w14:textFill>
              </w:rPr>
            </w:pPr>
            <w:r>
              <w:rPr>
                <w:rFonts w:hint="eastAsia" w:ascii="宋体" w:hAnsi="宋体" w:eastAsia="宋体" w:cs="宋体"/>
                <w:b/>
                <w:color w:val="000000" w:themeColor="text1"/>
                <w:lang w:val="zh-CN"/>
                <w14:textFill>
                  <w14:solidFill>
                    <w14:schemeClr w14:val="tx1"/>
                  </w14:solidFill>
                </w14:textFill>
              </w:rPr>
              <w:t>评分项及评分规则</w:t>
            </w:r>
          </w:p>
        </w:tc>
        <w:tc>
          <w:tcPr>
            <w:tcW w:w="1326" w:type="dxa"/>
            <w:vAlign w:val="center"/>
          </w:tcPr>
          <w:p w14:paraId="63A9F070">
            <w:pPr>
              <w:autoSpaceDE w:val="0"/>
              <w:autoSpaceDN w:val="0"/>
              <w:adjustRightInd w:val="0"/>
              <w:jc w:val="center"/>
              <w:rPr>
                <w:rFonts w:ascii="宋体" w:hAnsi="宋体" w:eastAsia="宋体" w:cs="宋体"/>
                <w:b/>
                <w:color w:val="000000" w:themeColor="text1"/>
                <w:lang w:val="zh-CN"/>
                <w14:textFill>
                  <w14:solidFill>
                    <w14:schemeClr w14:val="tx1"/>
                  </w14:solidFill>
                </w14:textFill>
              </w:rPr>
            </w:pPr>
            <w:r>
              <w:rPr>
                <w:rFonts w:hint="eastAsia" w:ascii="宋体" w:hAnsi="宋体" w:eastAsia="宋体" w:cs="宋体"/>
                <w:b/>
                <w:color w:val="000000" w:themeColor="text1"/>
                <w:lang w:val="zh-CN"/>
                <w14:textFill>
                  <w14:solidFill>
                    <w14:schemeClr w14:val="tx1"/>
                  </w14:solidFill>
                </w14:textFill>
              </w:rPr>
              <w:t>权重</w:t>
            </w:r>
          </w:p>
        </w:tc>
      </w:tr>
      <w:tr w14:paraId="26995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8" w:hRule="atLeast"/>
          <w:jc w:val="center"/>
        </w:trPr>
        <w:tc>
          <w:tcPr>
            <w:tcW w:w="8276" w:type="dxa"/>
            <w:gridSpan w:val="4"/>
            <w:vAlign w:val="center"/>
          </w:tcPr>
          <w:p w14:paraId="26E0D96B">
            <w:pPr>
              <w:autoSpaceDE w:val="0"/>
              <w:autoSpaceDN w:val="0"/>
              <w:adjustRightInd w:val="0"/>
              <w:jc w:val="center"/>
              <w:rPr>
                <w:rFonts w:ascii="宋体" w:hAnsi="宋体" w:eastAsia="宋体" w:cs="宋体"/>
                <w:b/>
                <w:color w:val="000000" w:themeColor="text1"/>
                <w:lang w:val="zh-CN"/>
                <w14:textFill>
                  <w14:solidFill>
                    <w14:schemeClr w14:val="tx1"/>
                  </w14:solidFill>
                </w14:textFill>
              </w:rPr>
            </w:pPr>
            <w:r>
              <w:rPr>
                <w:rFonts w:hint="eastAsia" w:ascii="宋体" w:hAnsi="宋体" w:eastAsia="宋体" w:cs="宋体"/>
                <w:b/>
                <w:color w:val="000000" w:themeColor="text1"/>
                <w:lang w:val="zh-CN"/>
                <w14:textFill>
                  <w14:solidFill>
                    <w14:schemeClr w14:val="tx1"/>
                  </w14:solidFill>
                </w14:textFill>
              </w:rPr>
              <w:t>一、价格部分</w:t>
            </w:r>
          </w:p>
        </w:tc>
        <w:tc>
          <w:tcPr>
            <w:tcW w:w="1326" w:type="dxa"/>
            <w:vAlign w:val="center"/>
          </w:tcPr>
          <w:p w14:paraId="1B01940C">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40</w:t>
            </w:r>
          </w:p>
        </w:tc>
      </w:tr>
      <w:tr w14:paraId="166C4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49" w:hRule="atLeast"/>
          <w:jc w:val="center"/>
        </w:trPr>
        <w:tc>
          <w:tcPr>
            <w:tcW w:w="8276" w:type="dxa"/>
            <w:gridSpan w:val="4"/>
            <w:vAlign w:val="center"/>
          </w:tcPr>
          <w:p w14:paraId="62AC44D1">
            <w:pPr>
              <w:ind w:firstLine="420" w:firstLineChars="200"/>
              <w:rPr>
                <w:rFonts w:ascii="宋体" w:hAnsi="宋体" w:eastAsia="宋体" w:cs="宋体"/>
                <w:color w:val="000000" w:themeColor="text1"/>
                <w14:textFill>
                  <w14:solidFill>
                    <w14:schemeClr w14:val="tx1"/>
                  </w14:solidFill>
                </w14:textFill>
              </w:rPr>
            </w:pPr>
            <w:r>
              <w:rPr>
                <w:rFonts w:hint="eastAsia" w:ascii="Times New Roman" w:hAnsi="Times New Roman" w:eastAsia="宋体"/>
                <w:color w:val="000000" w:themeColor="text1"/>
                <w:szCs w:val="24"/>
                <w14:textFill>
                  <w14:solidFill>
                    <w14:schemeClr w14:val="tx1"/>
                  </w14:solidFill>
                </w14:textFill>
              </w:rPr>
              <w:t>综合评分法中的价格分统一采用低价优先法计算。即满足采购文件要求且投标价格最低的</w:t>
            </w:r>
            <w:r>
              <w:rPr>
                <w:rFonts w:hint="eastAsia" w:ascii="Times New Roman" w:hAnsi="Times New Roman" w:eastAsia="宋体"/>
                <w:b/>
                <w:color w:val="000000" w:themeColor="text1"/>
                <w:szCs w:val="24"/>
                <w14:textFill>
                  <w14:solidFill>
                    <w14:schemeClr w14:val="tx1"/>
                  </w14:solidFill>
                </w14:textFill>
              </w:rPr>
              <w:t>投标兑换率</w:t>
            </w:r>
            <w:r>
              <w:rPr>
                <w:rFonts w:hint="eastAsia" w:ascii="Times New Roman" w:hAnsi="Times New Roman" w:eastAsia="宋体"/>
                <w:color w:val="000000" w:themeColor="text1"/>
                <w:szCs w:val="24"/>
                <w14:textFill>
                  <w14:solidFill>
                    <w14:schemeClr w14:val="tx1"/>
                  </w14:solidFill>
                </w14:textFill>
              </w:rPr>
              <w:t>为评标基准价，其价格分为满分。其他投标人的价格分统一按照下列公式计算：投标报价得分=(评标基准价/投标兑换率)×权重</w:t>
            </w:r>
          </w:p>
        </w:tc>
        <w:tc>
          <w:tcPr>
            <w:tcW w:w="1326" w:type="dxa"/>
            <w:vAlign w:val="center"/>
          </w:tcPr>
          <w:p w14:paraId="05D8E1A4">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评分方式</w:t>
            </w:r>
          </w:p>
          <w:p w14:paraId="6C5510A4">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按公式计算</w:t>
            </w:r>
          </w:p>
        </w:tc>
      </w:tr>
      <w:tr w14:paraId="55386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9" w:hRule="atLeast"/>
          <w:jc w:val="center"/>
        </w:trPr>
        <w:tc>
          <w:tcPr>
            <w:tcW w:w="8276" w:type="dxa"/>
            <w:gridSpan w:val="4"/>
            <w:vAlign w:val="center"/>
          </w:tcPr>
          <w:p w14:paraId="533A8FA5">
            <w:pPr>
              <w:autoSpaceDE w:val="0"/>
              <w:autoSpaceDN w:val="0"/>
              <w:adjustRightInd w:val="0"/>
              <w:jc w:val="center"/>
              <w:rPr>
                <w:rFonts w:ascii="宋体" w:hAnsi="宋体" w:eastAsia="宋体" w:cs="宋体"/>
                <w:b/>
                <w:color w:val="000000" w:themeColor="text1"/>
                <w14:textFill>
                  <w14:solidFill>
                    <w14:schemeClr w14:val="tx1"/>
                  </w14:solidFill>
                </w14:textFill>
              </w:rPr>
            </w:pPr>
            <w:r>
              <w:rPr>
                <w:rFonts w:hint="eastAsia" w:ascii="宋体" w:hAnsi="宋体" w:eastAsia="宋体" w:cs="宋体"/>
                <w:b/>
                <w:color w:val="000000" w:themeColor="text1"/>
                <w:lang w:val="zh-CN"/>
                <w14:textFill>
                  <w14:solidFill>
                    <w14:schemeClr w14:val="tx1"/>
                  </w14:solidFill>
                </w14:textFill>
              </w:rPr>
              <w:t>二、技术部分</w:t>
            </w:r>
          </w:p>
        </w:tc>
        <w:tc>
          <w:tcPr>
            <w:tcW w:w="1326" w:type="dxa"/>
            <w:vAlign w:val="center"/>
          </w:tcPr>
          <w:p w14:paraId="08A5A1AF">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36</w:t>
            </w:r>
          </w:p>
        </w:tc>
      </w:tr>
      <w:tr w14:paraId="5663C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5" w:hRule="atLeast"/>
          <w:jc w:val="center"/>
        </w:trPr>
        <w:tc>
          <w:tcPr>
            <w:tcW w:w="882" w:type="dxa"/>
            <w:vAlign w:val="center"/>
          </w:tcPr>
          <w:p w14:paraId="704386A7">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序号</w:t>
            </w:r>
          </w:p>
        </w:tc>
        <w:tc>
          <w:tcPr>
            <w:tcW w:w="1396" w:type="dxa"/>
            <w:vAlign w:val="center"/>
          </w:tcPr>
          <w:p w14:paraId="6991964C">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内容</w:t>
            </w:r>
          </w:p>
        </w:tc>
        <w:tc>
          <w:tcPr>
            <w:tcW w:w="709" w:type="dxa"/>
            <w:vAlign w:val="center"/>
          </w:tcPr>
          <w:p w14:paraId="113FD587">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权重</w:t>
            </w:r>
          </w:p>
        </w:tc>
        <w:tc>
          <w:tcPr>
            <w:tcW w:w="5289" w:type="dxa"/>
            <w:vAlign w:val="center"/>
          </w:tcPr>
          <w:p w14:paraId="58EF4F71">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评分规则</w:t>
            </w:r>
          </w:p>
        </w:tc>
        <w:tc>
          <w:tcPr>
            <w:tcW w:w="1326" w:type="dxa"/>
            <w:vAlign w:val="center"/>
          </w:tcPr>
          <w:p w14:paraId="6FC7931D">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评分方式</w:t>
            </w:r>
          </w:p>
        </w:tc>
      </w:tr>
      <w:tr w14:paraId="39CA5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1" w:hRule="atLeast"/>
          <w:jc w:val="center"/>
        </w:trPr>
        <w:tc>
          <w:tcPr>
            <w:tcW w:w="882" w:type="dxa"/>
            <w:vAlign w:val="center"/>
          </w:tcPr>
          <w:p w14:paraId="4C4C60FF">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1</w:t>
            </w:r>
          </w:p>
        </w:tc>
        <w:tc>
          <w:tcPr>
            <w:tcW w:w="1396" w:type="dxa"/>
            <w:vAlign w:val="center"/>
          </w:tcPr>
          <w:p w14:paraId="2931E5EA">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技术要求偏离情况</w:t>
            </w:r>
          </w:p>
        </w:tc>
        <w:tc>
          <w:tcPr>
            <w:tcW w:w="709" w:type="dxa"/>
            <w:vAlign w:val="center"/>
          </w:tcPr>
          <w:p w14:paraId="7A4DFC39">
            <w:pPr>
              <w:widowControl/>
              <w:tabs>
                <w:tab w:val="left" w:pos="426"/>
              </w:tabs>
              <w:wordWrap w:val="0"/>
              <w:jc w:val="center"/>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3</w:t>
            </w:r>
          </w:p>
        </w:tc>
        <w:tc>
          <w:tcPr>
            <w:tcW w:w="5289" w:type="dxa"/>
            <w:vAlign w:val="center"/>
          </w:tcPr>
          <w:p w14:paraId="1CD21C15">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投标人应如实填写《技术要求偏离表》，专家根据"项目技术要求"参数响应情况进行打分，各项技术参数指标及要求全部满足的得</w:t>
            </w:r>
            <w:r>
              <w:rPr>
                <w:rFonts w:ascii="宋体" w:hAnsi="宋体" w:eastAsia="宋体" w:cs="仿宋_GB2312"/>
                <w:color w:val="000000" w:themeColor="text1"/>
                <w14:textFill>
                  <w14:solidFill>
                    <w14:schemeClr w14:val="tx1"/>
                  </w14:solidFill>
                </w14:textFill>
              </w:rPr>
              <w:t>3</w:t>
            </w:r>
            <w:r>
              <w:rPr>
                <w:rFonts w:hint="eastAsia" w:ascii="宋体" w:hAnsi="宋体" w:eastAsia="宋体" w:cs="仿宋_GB2312"/>
                <w:color w:val="000000" w:themeColor="text1"/>
                <w14:textFill>
                  <w14:solidFill>
                    <w14:schemeClr w14:val="tx1"/>
                  </w14:solidFill>
                </w14:textFill>
              </w:rPr>
              <w:t>分，除带“★”实质性条款外，普通参数负偏离的每项扣0.25分，扣完为止，可有正偏离但不加分。</w:t>
            </w:r>
          </w:p>
          <w:p w14:paraId="438C1165">
            <w:pPr>
              <w:pStyle w:val="3"/>
              <w:jc w:val="left"/>
            </w:pPr>
            <w:r>
              <w:rPr>
                <w:rFonts w:hint="eastAsia" w:eastAsia="宋体" w:cs="仿宋_GB2312"/>
                <w:color w:val="000000" w:themeColor="text1"/>
                <w:kern w:val="2"/>
                <w:sz w:val="21"/>
                <w:szCs w:val="21"/>
                <w14:textFill>
                  <w14:solidFill>
                    <w14:schemeClr w14:val="tx1"/>
                  </w14:solidFill>
                </w14:textFill>
              </w:rPr>
              <w:t>提示：投标人的“技术要求偏离情况”必须与客观实际保持一致，响应不实且情节严重的，经查实，将依法记入供应商诚信档案或受到行政处罚。</w:t>
            </w:r>
          </w:p>
        </w:tc>
        <w:tc>
          <w:tcPr>
            <w:tcW w:w="1326" w:type="dxa"/>
            <w:vAlign w:val="center"/>
          </w:tcPr>
          <w:p w14:paraId="6F841945">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776CD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119" w:hRule="atLeast"/>
          <w:jc w:val="center"/>
        </w:trPr>
        <w:tc>
          <w:tcPr>
            <w:tcW w:w="882" w:type="dxa"/>
            <w:vAlign w:val="center"/>
          </w:tcPr>
          <w:p w14:paraId="220ACE75">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2</w:t>
            </w:r>
          </w:p>
        </w:tc>
        <w:tc>
          <w:tcPr>
            <w:tcW w:w="1396" w:type="dxa"/>
            <w:vAlign w:val="center"/>
          </w:tcPr>
          <w:p w14:paraId="139F2F21">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质量保证方案</w:t>
            </w:r>
          </w:p>
        </w:tc>
        <w:tc>
          <w:tcPr>
            <w:tcW w:w="709" w:type="dxa"/>
            <w:vAlign w:val="center"/>
          </w:tcPr>
          <w:p w14:paraId="5CDFC98C">
            <w:pPr>
              <w:widowControl/>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10</w:t>
            </w:r>
          </w:p>
        </w:tc>
        <w:tc>
          <w:tcPr>
            <w:tcW w:w="5289" w:type="dxa"/>
            <w:vAlign w:val="center"/>
          </w:tcPr>
          <w:p w14:paraId="1043E16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w:t>
            </w:r>
          </w:p>
          <w:p w14:paraId="172B8C62">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根据投标人提供质量保证方案进行评价，包含但不限于：</w:t>
            </w:r>
          </w:p>
          <w:p w14:paraId="7CB53C27">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1.货源采购渠道；</w:t>
            </w:r>
          </w:p>
          <w:p w14:paraId="4FD198FB">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2.供货保障；</w:t>
            </w:r>
          </w:p>
          <w:p w14:paraId="36E6B5EB">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3.日常管理组织。</w:t>
            </w:r>
          </w:p>
          <w:p w14:paraId="4BDDBEF4">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14F37487">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1.方案包含以上三项内容得5分；包含以上二项内容得3分；包含以上一项内容得1分；其他情况不得分。</w:t>
            </w:r>
          </w:p>
          <w:p w14:paraId="5ACA295F">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2.在此基础上，专家根据各供应商的具体响应内容按照量化的评审因素指标进一步评审。</w:t>
            </w:r>
          </w:p>
          <w:p w14:paraId="18A2028C">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优：方案内容详细具体、可行性高；加5分；</w:t>
            </w:r>
          </w:p>
          <w:p w14:paraId="1A4870F4">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良：方案内容较详细、可行性较高；加3分；</w:t>
            </w:r>
          </w:p>
          <w:p w14:paraId="68220E0A">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中：方案详细程度及可行性一般；加1分；</w:t>
            </w:r>
          </w:p>
          <w:p w14:paraId="7D8187D2">
            <w:pPr>
              <w:spacing w:line="360" w:lineRule="auto"/>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差：方案不详细或可行性低，不加分。</w:t>
            </w:r>
          </w:p>
        </w:tc>
        <w:tc>
          <w:tcPr>
            <w:tcW w:w="1326" w:type="dxa"/>
            <w:vAlign w:val="center"/>
          </w:tcPr>
          <w:p w14:paraId="6D447C98">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0AE8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2" w:hRule="atLeast"/>
          <w:jc w:val="center"/>
        </w:trPr>
        <w:tc>
          <w:tcPr>
            <w:tcW w:w="882" w:type="dxa"/>
            <w:vAlign w:val="center"/>
          </w:tcPr>
          <w:p w14:paraId="256AA2CF">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3</w:t>
            </w:r>
          </w:p>
        </w:tc>
        <w:tc>
          <w:tcPr>
            <w:tcW w:w="1396" w:type="dxa"/>
            <w:vAlign w:val="center"/>
          </w:tcPr>
          <w:p w14:paraId="06F4B43F">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售后服务方案</w:t>
            </w:r>
          </w:p>
        </w:tc>
        <w:tc>
          <w:tcPr>
            <w:tcW w:w="709" w:type="dxa"/>
            <w:vAlign w:val="center"/>
          </w:tcPr>
          <w:p w14:paraId="74B38E94">
            <w:pPr>
              <w:widowControl/>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10</w:t>
            </w:r>
          </w:p>
        </w:tc>
        <w:tc>
          <w:tcPr>
            <w:tcW w:w="5289" w:type="dxa"/>
            <w:vAlign w:val="center"/>
          </w:tcPr>
          <w:p w14:paraId="2771BEBA">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w:t>
            </w:r>
          </w:p>
          <w:p w14:paraId="51AE9BE4">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根据投标人提供售后服务方案进行评价，包含但不限于：</w:t>
            </w:r>
            <w:r>
              <w:rPr>
                <w:rFonts w:ascii="宋体" w:hAnsi="宋体" w:eastAsia="宋体" w:cs="仿宋_GB2312"/>
                <w:color w:val="000000" w:themeColor="text1"/>
                <w14:textFill>
                  <w14:solidFill>
                    <w14:schemeClr w14:val="tx1"/>
                  </w14:solidFill>
                </w14:textFill>
              </w:rPr>
              <w:t xml:space="preserve"> </w:t>
            </w:r>
          </w:p>
          <w:p w14:paraId="329F6E1E">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1.售后服务团队情况安排及售后服务响应；</w:t>
            </w:r>
          </w:p>
          <w:p w14:paraId="29504B25">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2.退换货的处理流程；</w:t>
            </w:r>
          </w:p>
          <w:p w14:paraId="085F808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3.遇到产品问题的更换或配送。</w:t>
            </w:r>
          </w:p>
          <w:p w14:paraId="52D30D84">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05BA6390">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1.方案包含以上三项内容得5分；包含以上二项内容得3分；包含以上一项内容得1分；其他情况不得分。</w:t>
            </w:r>
          </w:p>
          <w:p w14:paraId="5A8A4049">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2.在此基础上，专家根据各供应商的具体响应内容按照量化的评审因素指标进一步评审。</w:t>
            </w:r>
          </w:p>
          <w:p w14:paraId="04D11A79">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优：方案内容详细具体、可行性高；加5分；</w:t>
            </w:r>
          </w:p>
          <w:p w14:paraId="64F14149">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良：方案内容较详细、可行性较高；加3分；</w:t>
            </w:r>
          </w:p>
          <w:p w14:paraId="1662899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中：方案详细程度及可行性一般；加1分；</w:t>
            </w:r>
          </w:p>
          <w:p w14:paraId="5D45AAFE">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差：方案不详细或可行性低，不加分。</w:t>
            </w:r>
          </w:p>
        </w:tc>
        <w:tc>
          <w:tcPr>
            <w:tcW w:w="1326" w:type="dxa"/>
            <w:vAlign w:val="center"/>
          </w:tcPr>
          <w:p w14:paraId="54BDA824">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0F11A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2" w:hRule="atLeast"/>
          <w:jc w:val="center"/>
        </w:trPr>
        <w:tc>
          <w:tcPr>
            <w:tcW w:w="882" w:type="dxa"/>
            <w:vAlign w:val="center"/>
          </w:tcPr>
          <w:p w14:paraId="0CE12C71">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4</w:t>
            </w:r>
          </w:p>
        </w:tc>
        <w:tc>
          <w:tcPr>
            <w:tcW w:w="1396" w:type="dxa"/>
            <w:vAlign w:val="center"/>
          </w:tcPr>
          <w:p w14:paraId="3572A56C">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商品安排方案</w:t>
            </w:r>
          </w:p>
        </w:tc>
        <w:tc>
          <w:tcPr>
            <w:tcW w:w="709" w:type="dxa"/>
            <w:vAlign w:val="center"/>
          </w:tcPr>
          <w:p w14:paraId="0A40E6D2">
            <w:pPr>
              <w:widowControl/>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10</w:t>
            </w:r>
          </w:p>
        </w:tc>
        <w:tc>
          <w:tcPr>
            <w:tcW w:w="5289" w:type="dxa"/>
            <w:vAlign w:val="center"/>
          </w:tcPr>
          <w:p w14:paraId="76E3BDCF">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（一）评审内容：根据投标人提供商品安排方案进行评价，包含但不限于：</w:t>
            </w:r>
          </w:p>
          <w:p w14:paraId="19F59EE5">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1.提供包装食品类、日用品类不少于800种可在投标人线上平台购买的商品清单，清晰表明物品的品牌、规格等信息</w:t>
            </w:r>
            <w:r>
              <w:rPr>
                <w:rFonts w:ascii="宋体" w:hAnsi="宋体" w:eastAsia="宋体" w:cs="仿宋_GB2312"/>
                <w:color w:val="000000" w:themeColor="text1"/>
                <w14:textFill>
                  <w14:solidFill>
                    <w14:schemeClr w14:val="tx1"/>
                  </w14:solidFill>
                </w14:textFill>
              </w:rPr>
              <w:t>。</w:t>
            </w:r>
          </w:p>
          <w:p w14:paraId="7EDD71DB">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2.提供所投产品保质期限满足项目要求的说明。</w:t>
            </w:r>
          </w:p>
          <w:p w14:paraId="1065E762">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3.提供所投产品质量可靠、市场流通常见的说明。</w:t>
            </w:r>
          </w:p>
          <w:p w14:paraId="306A41CA">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776ABC25">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1.方案包含以上三项内容得5分；包含以上二项内容得3分；包含以上一项内容得1分；其他情况不得分。</w:t>
            </w:r>
          </w:p>
          <w:p w14:paraId="54C0C882">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2.在此基础上，专家根据各供应商的具体响应内容按照量化的评审因素指标进一步评审。</w:t>
            </w:r>
          </w:p>
          <w:p w14:paraId="02D900D1">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优：产品选择合理、性价比高、安全保障性高，加5分；</w:t>
            </w:r>
          </w:p>
          <w:p w14:paraId="5A010061">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良：产品选择合理、性价比较高、安全保障性较高，加3分；</w:t>
            </w:r>
          </w:p>
          <w:p w14:paraId="73787AC1">
            <w:pPr>
              <w:widowControl/>
              <w:tabs>
                <w:tab w:val="left" w:pos="426"/>
              </w:tabs>
              <w:wordWrap w:val="0"/>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中：产品选择基本满足要求、性价比一般、安全保障性一般，加1分；</w:t>
            </w:r>
          </w:p>
          <w:p w14:paraId="700A3612">
            <w:pPr>
              <w:widowControl/>
              <w:jc w:val="left"/>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差：产品选择基本满足要求，安全保障性差，不加分。</w:t>
            </w:r>
          </w:p>
        </w:tc>
        <w:tc>
          <w:tcPr>
            <w:tcW w:w="1326" w:type="dxa"/>
            <w:vAlign w:val="center"/>
          </w:tcPr>
          <w:p w14:paraId="52C94966">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547E5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2" w:hRule="atLeast"/>
          <w:jc w:val="center"/>
        </w:trPr>
        <w:tc>
          <w:tcPr>
            <w:tcW w:w="882" w:type="dxa"/>
            <w:vAlign w:val="center"/>
          </w:tcPr>
          <w:p w14:paraId="33518EA4">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5</w:t>
            </w:r>
          </w:p>
        </w:tc>
        <w:tc>
          <w:tcPr>
            <w:tcW w:w="1396" w:type="dxa"/>
            <w:vAlign w:val="center"/>
          </w:tcPr>
          <w:p w14:paraId="5AD9F554">
            <w:pPr>
              <w:widowControl/>
              <w:wordWrap w:val="0"/>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质量安全承诺</w:t>
            </w:r>
          </w:p>
        </w:tc>
        <w:tc>
          <w:tcPr>
            <w:tcW w:w="709" w:type="dxa"/>
            <w:vAlign w:val="center"/>
          </w:tcPr>
          <w:p w14:paraId="76A589DA">
            <w:pPr>
              <w:widowControl/>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3</w:t>
            </w:r>
          </w:p>
        </w:tc>
        <w:tc>
          <w:tcPr>
            <w:tcW w:w="5289" w:type="dxa"/>
          </w:tcPr>
          <w:p w14:paraId="47A67771">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w:t>
            </w:r>
          </w:p>
          <w:p w14:paraId="5840FEA5">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投标人根据采购人产品要求提供《食品质量安全承诺书》得3分，否则不得分。</w:t>
            </w:r>
          </w:p>
          <w:p w14:paraId="5075DC8D">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549AFA8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提供盖章的《食品质量安全承诺书》，格式详见第五章投标文件格式《食品质量安全承诺书》。</w:t>
            </w:r>
          </w:p>
        </w:tc>
        <w:tc>
          <w:tcPr>
            <w:tcW w:w="1326" w:type="dxa"/>
            <w:vAlign w:val="center"/>
          </w:tcPr>
          <w:p w14:paraId="588A80DC">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172F9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8" w:hRule="atLeast"/>
          <w:jc w:val="center"/>
        </w:trPr>
        <w:tc>
          <w:tcPr>
            <w:tcW w:w="8276" w:type="dxa"/>
            <w:gridSpan w:val="4"/>
            <w:vAlign w:val="center"/>
          </w:tcPr>
          <w:p w14:paraId="0D69B3A3">
            <w:pPr>
              <w:autoSpaceDE w:val="0"/>
              <w:autoSpaceDN w:val="0"/>
              <w:adjustRightInd w:val="0"/>
              <w:jc w:val="center"/>
              <w:rPr>
                <w:rFonts w:ascii="宋体" w:hAnsi="宋体" w:eastAsia="宋体" w:cs="宋体"/>
                <w:b/>
                <w:color w:val="000000" w:themeColor="text1"/>
                <w:lang w:val="zh-CN"/>
                <w14:textFill>
                  <w14:solidFill>
                    <w14:schemeClr w14:val="tx1"/>
                  </w14:solidFill>
                </w14:textFill>
              </w:rPr>
            </w:pPr>
            <w:r>
              <w:rPr>
                <w:rFonts w:hint="eastAsia" w:ascii="宋体" w:hAnsi="宋体" w:eastAsia="宋体" w:cs="宋体"/>
                <w:b/>
                <w:color w:val="000000" w:themeColor="text1"/>
                <w:lang w:val="zh-CN"/>
                <w14:textFill>
                  <w14:solidFill>
                    <w14:schemeClr w14:val="tx1"/>
                  </w14:solidFill>
                </w14:textFill>
              </w:rPr>
              <w:t>三、</w:t>
            </w:r>
            <w:r>
              <w:rPr>
                <w:rFonts w:hint="eastAsia" w:ascii="宋体" w:hAnsi="宋体" w:eastAsia="宋体" w:cs="宋体"/>
                <w:b/>
                <w:color w:val="000000" w:themeColor="text1"/>
                <w14:textFill>
                  <w14:solidFill>
                    <w14:schemeClr w14:val="tx1"/>
                  </w14:solidFill>
                </w14:textFill>
              </w:rPr>
              <w:t>商务部分</w:t>
            </w:r>
          </w:p>
        </w:tc>
        <w:tc>
          <w:tcPr>
            <w:tcW w:w="1326" w:type="dxa"/>
            <w:vAlign w:val="center"/>
          </w:tcPr>
          <w:p w14:paraId="2B1D1EB3">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19</w:t>
            </w:r>
          </w:p>
        </w:tc>
      </w:tr>
      <w:tr w14:paraId="53016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1" w:hRule="atLeast"/>
          <w:jc w:val="center"/>
        </w:trPr>
        <w:tc>
          <w:tcPr>
            <w:tcW w:w="882" w:type="dxa"/>
            <w:vAlign w:val="center"/>
          </w:tcPr>
          <w:p w14:paraId="1713C0F8">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序号</w:t>
            </w:r>
          </w:p>
        </w:tc>
        <w:tc>
          <w:tcPr>
            <w:tcW w:w="1396" w:type="dxa"/>
            <w:vAlign w:val="center"/>
          </w:tcPr>
          <w:p w14:paraId="6BDEB1B9">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内容</w:t>
            </w:r>
          </w:p>
        </w:tc>
        <w:tc>
          <w:tcPr>
            <w:tcW w:w="709" w:type="dxa"/>
            <w:vAlign w:val="center"/>
          </w:tcPr>
          <w:p w14:paraId="5954F8EC">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权重</w:t>
            </w:r>
          </w:p>
        </w:tc>
        <w:tc>
          <w:tcPr>
            <w:tcW w:w="5289" w:type="dxa"/>
            <w:vAlign w:val="center"/>
          </w:tcPr>
          <w:p w14:paraId="2BDE532C">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评分规则</w:t>
            </w:r>
          </w:p>
        </w:tc>
        <w:tc>
          <w:tcPr>
            <w:tcW w:w="1326" w:type="dxa"/>
            <w:vAlign w:val="center"/>
          </w:tcPr>
          <w:p w14:paraId="0B2985DF">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评分方式</w:t>
            </w:r>
          </w:p>
        </w:tc>
      </w:tr>
      <w:tr w14:paraId="2E5D3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1" w:hRule="atLeast"/>
          <w:jc w:val="center"/>
        </w:trPr>
        <w:tc>
          <w:tcPr>
            <w:tcW w:w="882" w:type="dxa"/>
            <w:vAlign w:val="center"/>
          </w:tcPr>
          <w:p w14:paraId="7827AB33">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lang w:val="zh-CN"/>
                <w14:textFill>
                  <w14:solidFill>
                    <w14:schemeClr w14:val="tx1"/>
                  </w14:solidFill>
                </w14:textFill>
              </w:rPr>
              <w:t>1</w:t>
            </w:r>
          </w:p>
        </w:tc>
        <w:tc>
          <w:tcPr>
            <w:tcW w:w="1396" w:type="dxa"/>
            <w:vAlign w:val="center"/>
          </w:tcPr>
          <w:p w14:paraId="24DFCC6C">
            <w:pPr>
              <w:widowControl/>
              <w:spacing w:line="360" w:lineRule="auto"/>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同类业绩</w:t>
            </w:r>
          </w:p>
        </w:tc>
        <w:tc>
          <w:tcPr>
            <w:tcW w:w="709" w:type="dxa"/>
            <w:vAlign w:val="center"/>
          </w:tcPr>
          <w:p w14:paraId="38B21FAE">
            <w:pPr>
              <w:widowControl/>
              <w:spacing w:line="360" w:lineRule="auto"/>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9</w:t>
            </w:r>
          </w:p>
        </w:tc>
        <w:tc>
          <w:tcPr>
            <w:tcW w:w="5289" w:type="dxa"/>
          </w:tcPr>
          <w:p w14:paraId="247624E3">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w:t>
            </w:r>
          </w:p>
          <w:p w14:paraId="6371E7AA">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自2021年1月1日至投标截止之日（以合同签订之日为准），投标人具有同类项目业绩（包括慰问品采购项目）的，并经采购单位或被服务单位考核评价为履约评价中最高等级的，每提供一个项目业绩得1分，最高9分；</w:t>
            </w:r>
          </w:p>
          <w:p w14:paraId="23D13E60">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单个项目按以上规则仅计分一次，一年一签的长期服务续签合同只计算一个业绩。</w:t>
            </w:r>
          </w:p>
          <w:p w14:paraId="2D52A5A5">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56A96A54">
            <w:pPr>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1.提供合同关键信息（含签订合同双方的单位名称、合同项目名称、签订合同双方的落款盖章、签订日期的关键页）复印件或扫描件。通过合同关键信息无法判断是否得分的，需同时提供能证明得分的其它证明资料，如项目报告或合同采购人出具的证明文件等。以上材料提供复印件或扫描件，原件备查。</w:t>
            </w:r>
          </w:p>
          <w:p w14:paraId="3C610BFB">
            <w:pPr>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2.采购单位或被服务单位出具的总体履约评价中最高等级的相关证明文件加盖合同采购人公章（采购人业务章）。证明文件的内容包括但不仅限于合同的项目名称、总体履约评价结果、出具证明的签署日期等相关内容,如提交的证明文件其评价结果没有结论而仅是打分的（比如打100分、98分、95分、85分等的）不计分。</w:t>
            </w:r>
          </w:p>
          <w:p w14:paraId="72157280">
            <w:pPr>
              <w:jc w:val="left"/>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3.以上材料提供复印件或扫描件</w:t>
            </w:r>
            <w:r>
              <w:rPr>
                <w:rFonts w:hint="eastAsia" w:ascii="宋体" w:hAnsi="宋体" w:eastAsia="宋体" w:cs="仿宋_GB2312"/>
                <w:color w:val="000000" w:themeColor="text1"/>
                <w14:textFill>
                  <w14:solidFill>
                    <w14:schemeClr w14:val="tx1"/>
                  </w14:solidFill>
                </w14:textFill>
              </w:rPr>
              <w:t>并加盖投标人公章</w:t>
            </w:r>
            <w:r>
              <w:rPr>
                <w:rFonts w:ascii="宋体" w:hAnsi="宋体" w:eastAsia="宋体" w:cs="仿宋_GB2312"/>
                <w:color w:val="000000" w:themeColor="text1"/>
                <w14:textFill>
                  <w14:solidFill>
                    <w14:schemeClr w14:val="tx1"/>
                  </w14:solidFill>
                </w14:textFill>
              </w:rPr>
              <w:t>，原件备查。未提供有效证明材料的或者提供的证明材料不符合要求的或者提供的证明材料不清晰导致评审专家无法辨认的，一律作不得分处理。</w:t>
            </w:r>
          </w:p>
        </w:tc>
        <w:tc>
          <w:tcPr>
            <w:tcW w:w="1326" w:type="dxa"/>
            <w:vAlign w:val="center"/>
          </w:tcPr>
          <w:p w14:paraId="3BD67BEE">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1E8E5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9" w:hRule="atLeast"/>
          <w:jc w:val="center"/>
        </w:trPr>
        <w:tc>
          <w:tcPr>
            <w:tcW w:w="882" w:type="dxa"/>
            <w:vAlign w:val="center"/>
          </w:tcPr>
          <w:p w14:paraId="48BF600F">
            <w:pPr>
              <w:autoSpaceDE w:val="0"/>
              <w:autoSpaceDN w:val="0"/>
              <w:adjustRightInd w:val="0"/>
              <w:jc w:val="center"/>
              <w:rPr>
                <w:rFonts w:ascii="宋体" w:hAnsi="宋体" w:eastAsia="宋体" w:cs="宋体"/>
                <w:color w:val="000000" w:themeColor="text1"/>
                <w:highlight w:val="yellow"/>
                <w:lang w:val="zh-CN"/>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w:t>
            </w:r>
          </w:p>
        </w:tc>
        <w:tc>
          <w:tcPr>
            <w:tcW w:w="1396" w:type="dxa"/>
            <w:vAlign w:val="center"/>
          </w:tcPr>
          <w:p w14:paraId="70D4F324">
            <w:pPr>
              <w:widowControl/>
              <w:spacing w:line="360" w:lineRule="auto"/>
              <w:jc w:val="center"/>
              <w:rPr>
                <w:rFonts w:ascii="宋体" w:hAnsi="宋体" w:eastAsia="宋体" w:cs="仿宋_GB2312"/>
                <w:color w:val="000000" w:themeColor="text1"/>
                <w:highlight w:val="yellow"/>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企业认证</w:t>
            </w:r>
          </w:p>
        </w:tc>
        <w:tc>
          <w:tcPr>
            <w:tcW w:w="709" w:type="dxa"/>
            <w:vAlign w:val="center"/>
          </w:tcPr>
          <w:p w14:paraId="3480A829">
            <w:pPr>
              <w:widowControl/>
              <w:spacing w:line="360" w:lineRule="auto"/>
              <w:jc w:val="center"/>
              <w:rPr>
                <w:rFonts w:ascii="宋体" w:hAnsi="宋体" w:eastAsia="宋体" w:cs="仿宋_GB2312"/>
                <w:color w:val="000000" w:themeColor="text1"/>
                <w:highlight w:val="yellow"/>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5</w:t>
            </w:r>
          </w:p>
        </w:tc>
        <w:tc>
          <w:tcPr>
            <w:tcW w:w="5289" w:type="dxa"/>
          </w:tcPr>
          <w:p w14:paraId="46BFFEF1">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w:t>
            </w:r>
          </w:p>
          <w:p w14:paraId="4EA4396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投标人提供下列企业认证证明文件：</w:t>
            </w:r>
          </w:p>
          <w:p w14:paraId="0D3B9DDC">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1.具有环境管理体系认证证书，得1分。</w:t>
            </w:r>
          </w:p>
          <w:p w14:paraId="4323A82F">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2.具有职业健康管理体系认证证书，得1分。</w:t>
            </w:r>
          </w:p>
          <w:p w14:paraId="49F7F3CE">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3.具有质量管理体系认证证书，得1.5分。</w:t>
            </w:r>
          </w:p>
          <w:p w14:paraId="485112C8">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4.具有食品安全管理体系认证证书，得1.5分。</w:t>
            </w:r>
          </w:p>
          <w:p w14:paraId="694A608A">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65667ED3">
            <w:pPr>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1.提供相关认证机构颁发的在有效期内的认证证书及在全国认证认可信息公共服务平台（http://cx.cnca.cn）查询截图（截图需显示证书状态为有效），若该认证证书的认证项目在全国认证认可信息公共服务平台显示为“所有未列明的其他管理体系认证”的，则其证书编号需保持一致。</w:t>
            </w:r>
            <w:r>
              <w:rPr>
                <w:rFonts w:hint="eastAsia" w:ascii="宋体" w:hAnsi="宋体" w:eastAsia="宋体" w:cs="仿宋_GB2312"/>
                <w:color w:val="000000" w:themeColor="text1"/>
                <w14:textFill>
                  <w14:solidFill>
                    <w14:schemeClr w14:val="tx1"/>
                  </w14:solidFill>
                </w14:textFill>
              </w:rPr>
              <w:t>由于成立时间不足三个月导致不能办理相应认证证书的，提供认证机构出具的“成立时间不足三个月，不能办理认证”的书面证明材料，按已经获得计分。</w:t>
            </w:r>
          </w:p>
          <w:p w14:paraId="281C45B0">
            <w:pPr>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2.以上材料提供复印件或扫描件</w:t>
            </w:r>
            <w:r>
              <w:rPr>
                <w:rFonts w:hint="eastAsia" w:ascii="宋体" w:hAnsi="宋体" w:eastAsia="宋体" w:cs="仿宋_GB2312"/>
                <w:color w:val="000000" w:themeColor="text1"/>
                <w14:textFill>
                  <w14:solidFill>
                    <w14:schemeClr w14:val="tx1"/>
                  </w14:solidFill>
                </w14:textFill>
              </w:rPr>
              <w:t>并加盖投标人公章</w:t>
            </w:r>
            <w:r>
              <w:rPr>
                <w:rFonts w:ascii="宋体" w:hAnsi="宋体" w:eastAsia="宋体" w:cs="仿宋_GB2312"/>
                <w:color w:val="000000" w:themeColor="text1"/>
                <w14:textFill>
                  <w14:solidFill>
                    <w14:schemeClr w14:val="tx1"/>
                  </w14:solidFill>
                </w14:textFill>
              </w:rPr>
              <w:t>，原件备查。未提供有效证明材料的或者提供的证明材料不符合要求的或者提供的证明材料不清晰导致评审专家无法辨认的，一律作不得分处理。</w:t>
            </w:r>
          </w:p>
        </w:tc>
        <w:tc>
          <w:tcPr>
            <w:tcW w:w="1326" w:type="dxa"/>
            <w:vAlign w:val="center"/>
          </w:tcPr>
          <w:p w14:paraId="5FAA2D07">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39CA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1" w:hRule="atLeast"/>
          <w:jc w:val="center"/>
        </w:trPr>
        <w:tc>
          <w:tcPr>
            <w:tcW w:w="882" w:type="dxa"/>
            <w:vAlign w:val="center"/>
          </w:tcPr>
          <w:p w14:paraId="5604F787">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3</w:t>
            </w:r>
          </w:p>
        </w:tc>
        <w:tc>
          <w:tcPr>
            <w:tcW w:w="1396" w:type="dxa"/>
            <w:vAlign w:val="center"/>
          </w:tcPr>
          <w:p w14:paraId="1798C8FE">
            <w:pPr>
              <w:widowControl/>
              <w:spacing w:line="360" w:lineRule="auto"/>
              <w:jc w:val="center"/>
              <w:textAlignment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投标人保险</w:t>
            </w:r>
          </w:p>
          <w:p w14:paraId="5B636EAC">
            <w:pPr>
              <w:widowControl/>
              <w:spacing w:line="360" w:lineRule="auto"/>
              <w:jc w:val="center"/>
              <w:textAlignment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情况</w:t>
            </w:r>
          </w:p>
        </w:tc>
        <w:tc>
          <w:tcPr>
            <w:tcW w:w="709" w:type="dxa"/>
            <w:vAlign w:val="center"/>
          </w:tcPr>
          <w:p w14:paraId="10999162">
            <w:pPr>
              <w:widowControl/>
              <w:spacing w:line="360" w:lineRule="auto"/>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5</w:t>
            </w:r>
          </w:p>
        </w:tc>
        <w:tc>
          <w:tcPr>
            <w:tcW w:w="5289" w:type="dxa"/>
          </w:tcPr>
          <w:p w14:paraId="6E6B085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（一）评审内容：</w:t>
            </w:r>
          </w:p>
          <w:p w14:paraId="1B2C8E43">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投标人购买的公众责任险：</w:t>
            </w:r>
          </w:p>
          <w:p w14:paraId="175A55EB">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1.提供有效期内的公众责任险保险单，每次事故与累计赔偿限额人民币3000万元(含)以上，得5分；</w:t>
            </w:r>
          </w:p>
          <w:p w14:paraId="7F9EC6F9">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2.提供有效期内的公众责任险保险单，每次事故与累计赔偿限额人民币2000万元(含)至3000万元（不含），得3分；</w:t>
            </w:r>
          </w:p>
          <w:p w14:paraId="09443DEA">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3.提供有效期内的公众责任险保险单，每次事故与累计赔偿限额人民币1000 万元(含)至2000万元（不含），得1分；</w:t>
            </w:r>
          </w:p>
          <w:p w14:paraId="1A07EC70">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4.其他情况或未提供不得分。</w:t>
            </w:r>
          </w:p>
          <w:p w14:paraId="3D064188">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（二）评审标准：</w:t>
            </w:r>
          </w:p>
          <w:p w14:paraId="340CC4C4">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1.提供投标截止之日前的公众责任险保单文件及发票证明文件；</w:t>
            </w:r>
          </w:p>
          <w:p w14:paraId="68E55C2E">
            <w:pPr>
              <w:rPr>
                <w:rFonts w:ascii="宋体" w:hAnsi="宋体" w:eastAsia="宋体" w:cs="仿宋_GB2312"/>
                <w:color w:val="000000" w:themeColor="text1"/>
                <w14:textFill>
                  <w14:solidFill>
                    <w14:schemeClr w14:val="tx1"/>
                  </w14:solidFill>
                </w14:textFill>
              </w:rPr>
            </w:pPr>
            <w:r>
              <w:rPr>
                <w:rFonts w:ascii="宋体" w:hAnsi="宋体" w:eastAsia="宋体" w:cs="仿宋_GB2312"/>
                <w:color w:val="000000" w:themeColor="text1"/>
                <w14:textFill>
                  <w14:solidFill>
                    <w14:schemeClr w14:val="tx1"/>
                  </w14:solidFill>
                </w14:textFill>
              </w:rPr>
              <w:t>2.以上材料提供复印件或扫描件，原件备查。未提供有效证明材料的或者提供的证明材料不符合要求的或者提供的证明材料不清晰导致评审专家无法辨认的，一律作不得分处理</w:t>
            </w:r>
          </w:p>
        </w:tc>
        <w:tc>
          <w:tcPr>
            <w:tcW w:w="1326" w:type="dxa"/>
            <w:vAlign w:val="center"/>
          </w:tcPr>
          <w:p w14:paraId="420E4DC4">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r w14:paraId="3C6F2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1" w:hRule="atLeast"/>
          <w:jc w:val="center"/>
        </w:trPr>
        <w:tc>
          <w:tcPr>
            <w:tcW w:w="8276" w:type="dxa"/>
            <w:gridSpan w:val="4"/>
            <w:vAlign w:val="center"/>
          </w:tcPr>
          <w:p w14:paraId="1DD77732">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四 诚信部分</w:t>
            </w:r>
          </w:p>
        </w:tc>
        <w:tc>
          <w:tcPr>
            <w:tcW w:w="1326" w:type="dxa"/>
            <w:vAlign w:val="center"/>
          </w:tcPr>
          <w:p w14:paraId="6E0477A7">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5</w:t>
            </w:r>
          </w:p>
        </w:tc>
      </w:tr>
      <w:tr w14:paraId="363A4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1" w:hRule="atLeast"/>
          <w:jc w:val="center"/>
        </w:trPr>
        <w:tc>
          <w:tcPr>
            <w:tcW w:w="882" w:type="dxa"/>
            <w:vAlign w:val="center"/>
          </w:tcPr>
          <w:p w14:paraId="104DBBA5">
            <w:pPr>
              <w:autoSpaceDE w:val="0"/>
              <w:autoSpaceDN w:val="0"/>
              <w:adjustRightInd w:val="0"/>
              <w:jc w:val="center"/>
              <w:rPr>
                <w:rFonts w:ascii="宋体" w:hAnsi="宋体" w:eastAsia="宋体" w:cs="宋体"/>
                <w:color w:val="000000" w:themeColor="text1"/>
                <w:lang w:val="zh-CN"/>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1</w:t>
            </w:r>
          </w:p>
        </w:tc>
        <w:tc>
          <w:tcPr>
            <w:tcW w:w="1396" w:type="dxa"/>
            <w:vAlign w:val="center"/>
          </w:tcPr>
          <w:p w14:paraId="1124687C">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诚信体系</w:t>
            </w:r>
          </w:p>
        </w:tc>
        <w:tc>
          <w:tcPr>
            <w:tcW w:w="709" w:type="dxa"/>
            <w:vAlign w:val="center"/>
          </w:tcPr>
          <w:p w14:paraId="3CC911B9">
            <w:pPr>
              <w:jc w:val="cente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5</w:t>
            </w:r>
          </w:p>
        </w:tc>
        <w:tc>
          <w:tcPr>
            <w:tcW w:w="5289" w:type="dxa"/>
          </w:tcPr>
          <w:p w14:paraId="08B9B449">
            <w:pPr>
              <w:rPr>
                <w:rFonts w:ascii="宋体" w:hAnsi="宋体" w:eastAsia="宋体" w:cs="仿宋_GB2312"/>
                <w:color w:val="000000" w:themeColor="text1"/>
                <w14:textFill>
                  <w14:solidFill>
                    <w14:schemeClr w14:val="tx1"/>
                  </w14:solidFill>
                </w14:textFill>
              </w:rPr>
            </w:pPr>
            <w:r>
              <w:rPr>
                <w:rFonts w:hint="eastAsia" w:ascii="宋体" w:hAnsi="宋体" w:eastAsia="宋体" w:cs="仿宋_GB2312"/>
                <w:color w:val="000000" w:themeColor="text1"/>
                <w14:textFill>
                  <w14:solidFill>
                    <w14:schemeClr w14:val="tx1"/>
                  </w14:solidFill>
                </w14:textFill>
              </w:rPr>
              <w:t>根据《深圳市财政委员会关于加强招投标评审环节诚信管理的通知》（深财购[2013]27号）相关规定，投标人在参与政府采购活动中出现《深圳市财政局政府采购供应商信用信息管理办法》（深财规〔2023〕3号）列明的一般行政处罚信息、一般违法失信记录信息的，相关评审因素不得分，否则得满分。投标人无需提供任何证明材料，由工作人员向评审委员会提供相关信息。</w:t>
            </w:r>
          </w:p>
        </w:tc>
        <w:tc>
          <w:tcPr>
            <w:tcW w:w="1326" w:type="dxa"/>
            <w:vAlign w:val="center"/>
          </w:tcPr>
          <w:p w14:paraId="57461256">
            <w:pPr>
              <w:autoSpaceDE w:val="0"/>
              <w:autoSpaceDN w:val="0"/>
              <w:adjustRightInd w:val="0"/>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专家打分</w:t>
            </w:r>
          </w:p>
        </w:tc>
      </w:tr>
    </w:tbl>
    <w:p w14:paraId="73EE2BFF">
      <w:pPr>
        <w:spacing w:line="520" w:lineRule="atLeast"/>
        <w:outlineLvl w:val="0"/>
        <w:rPr>
          <w:rFonts w:ascii="仿宋_GB2312" w:hAnsi="仿宋_GB2312" w:eastAsia="仿宋_GB2312" w:cs="仿宋_GB2312"/>
          <w:b/>
          <w:bCs/>
          <w:color w:val="000000" w:themeColor="text1"/>
          <w:sz w:val="28"/>
          <w:szCs w:val="28"/>
          <w14:textFill>
            <w14:solidFill>
              <w14:schemeClr w14:val="tx1"/>
            </w14:solidFill>
          </w14:textFill>
        </w:rPr>
      </w:pPr>
    </w:p>
    <w:p w14:paraId="131AD791">
      <w:pPr>
        <w:spacing w:line="520" w:lineRule="atLeast"/>
        <w:outlineLvl w:val="0"/>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五、采购合同</w:t>
      </w:r>
    </w:p>
    <w:p w14:paraId="07CC87F5">
      <w:pPr>
        <w:spacing w:before="156" w:beforeLines="50" w:line="520" w:lineRule="exact"/>
        <w:jc w:val="center"/>
        <w:rPr>
          <w:rFonts w:ascii="仿宋_GB2312" w:hAnsi="仿宋_GB2312" w:eastAsia="仿宋_GB2312" w:cs="仿宋_GB2312"/>
          <w:color w:val="000000" w:themeColor="text1"/>
          <w:sz w:val="36"/>
          <w:szCs w:val="36"/>
          <w14:textFill>
            <w14:solidFill>
              <w14:schemeClr w14:val="tx1"/>
            </w14:solidFill>
          </w14:textFill>
        </w:rPr>
      </w:pPr>
      <w:r>
        <w:rPr>
          <w:rFonts w:hint="eastAsia" w:ascii="仿宋_GB2312" w:hAnsi="仿宋_GB2312" w:eastAsia="仿宋_GB2312" w:cs="仿宋_GB2312"/>
          <w:color w:val="000000" w:themeColor="text1"/>
          <w:sz w:val="36"/>
          <w:szCs w:val="36"/>
          <w14:textFill>
            <w14:solidFill>
              <w14:schemeClr w14:val="tx1"/>
            </w14:solidFill>
          </w14:textFill>
        </w:rPr>
        <w:t>采购合同</w:t>
      </w:r>
    </w:p>
    <w:p w14:paraId="4C8870E9">
      <w:pPr>
        <w:pStyle w:val="3"/>
        <w:spacing w:line="440" w:lineRule="exact"/>
        <w:rPr>
          <w:rFonts w:ascii="CESI仿宋-GB2312" w:hAnsi="CESI仿宋-GB2312" w:eastAsia="CESI仿宋-GB2312" w:cs="CESI仿宋-GB2312"/>
          <w:b/>
          <w:bCs/>
          <w:kern w:val="2"/>
          <w:sz w:val="21"/>
          <w:szCs w:val="21"/>
        </w:rPr>
      </w:pPr>
      <w:r>
        <w:rPr>
          <w:rFonts w:hint="eastAsia" w:ascii="CESI仿宋-GB2312" w:hAnsi="CESI仿宋-GB2312" w:eastAsia="CESI仿宋-GB2312" w:cs="CESI仿宋-GB2312"/>
          <w:sz w:val="21"/>
          <w:szCs w:val="21"/>
        </w:rPr>
        <w:t xml:space="preserve">（仅供参考，具体以项目需求及采购结果为准）   </w:t>
      </w:r>
    </w:p>
    <w:p w14:paraId="2960693F">
      <w:pPr>
        <w:tabs>
          <w:tab w:val="left" w:pos="4950"/>
        </w:tabs>
        <w:spacing w:line="520" w:lineRule="exact"/>
        <w:jc w:val="center"/>
        <w:rPr>
          <w:rFonts w:ascii="仿宋_GB2312" w:hAnsi="仿宋_GB2312" w:eastAsia="仿宋_GB2312" w:cs="仿宋_GB2312"/>
          <w:color w:val="000000" w:themeColor="text1"/>
          <w:sz w:val="28"/>
          <w:szCs w:val="28"/>
          <w14:textFill>
            <w14:solidFill>
              <w14:schemeClr w14:val="tx1"/>
            </w14:solidFill>
          </w14:textFill>
        </w:rPr>
      </w:pPr>
    </w:p>
    <w:p w14:paraId="72B25E1D">
      <w:pPr>
        <w:tabs>
          <w:tab w:val="left" w:pos="4950"/>
        </w:tabs>
        <w:spacing w:line="520" w:lineRule="exact"/>
        <w:jc w:val="center"/>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                            合同编号：</w:t>
      </w:r>
    </w:p>
    <w:p w14:paraId="3FD182A2">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p>
    <w:p w14:paraId="638D63AE">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甲方：</w:t>
      </w:r>
    </w:p>
    <w:p w14:paraId="4235FA74">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法定代表人：                                                             </w:t>
      </w:r>
    </w:p>
    <w:p w14:paraId="2BD611BA">
      <w:pPr>
        <w:tabs>
          <w:tab w:val="left" w:pos="4950"/>
        </w:tabs>
        <w:spacing w:line="520" w:lineRule="exact"/>
        <w:rPr>
          <w:rFonts w:ascii="仿宋_GB2312" w:hAnsi="仿宋_GB2312" w:eastAsia="仿宋_GB2312" w:cs="仿宋_GB2312"/>
          <w:color w:val="000000" w:themeColor="text1"/>
          <w:sz w:val="28"/>
          <w:szCs w:val="28"/>
          <w:u w:val="single"/>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地址：</w:t>
      </w:r>
    </w:p>
    <w:p w14:paraId="4E72E163">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联系人：</w:t>
      </w:r>
    </w:p>
    <w:p w14:paraId="283D847C">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联系电话：                                                               </w:t>
      </w:r>
    </w:p>
    <w:p w14:paraId="5B1043A4">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p>
    <w:p w14:paraId="19FFC611">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乙方：</w:t>
      </w:r>
    </w:p>
    <w:p w14:paraId="045E4BB4">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法定代表人：</w:t>
      </w:r>
    </w:p>
    <w:p w14:paraId="308ADD7B">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地址：</w:t>
      </w:r>
    </w:p>
    <w:p w14:paraId="5A5F8E26">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联系人：</w:t>
      </w:r>
    </w:p>
    <w:p w14:paraId="1EDD392C">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联系电话：</w:t>
      </w:r>
    </w:p>
    <w:p w14:paraId="27E72002">
      <w:pPr>
        <w:tabs>
          <w:tab w:val="left" w:pos="4950"/>
        </w:tabs>
        <w:spacing w:line="52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统一社会信用代码：</w:t>
      </w:r>
    </w:p>
    <w:p w14:paraId="68C3AA17">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甲、乙双方根据《中华人民共和国民法典》以及相关法律、法规的规定，经甲乙双方协商一致，签署本合同，以资双方共同信守：</w:t>
      </w:r>
    </w:p>
    <w:p w14:paraId="35612B7E">
      <w:pPr>
        <w:spacing w:line="520" w:lineRule="exact"/>
        <w:ind w:right="-788" w:rightChars="-375"/>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第一条 合同标的物清单及合同总价</w:t>
      </w:r>
    </w:p>
    <w:tbl>
      <w:tblPr>
        <w:tblStyle w:val="15"/>
        <w:tblW w:w="88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8"/>
        <w:gridCol w:w="1778"/>
        <w:gridCol w:w="1778"/>
        <w:gridCol w:w="1778"/>
        <w:gridCol w:w="1780"/>
      </w:tblGrid>
      <w:tr w14:paraId="72818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778" w:type="dxa"/>
            <w:vAlign w:val="center"/>
          </w:tcPr>
          <w:p w14:paraId="6BCE5344">
            <w:pPr>
              <w:spacing w:line="500" w:lineRule="exact"/>
              <w:ind w:right="-130" w:rightChars="-62"/>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品名</w:t>
            </w:r>
          </w:p>
        </w:tc>
        <w:tc>
          <w:tcPr>
            <w:tcW w:w="1778" w:type="dxa"/>
            <w:vAlign w:val="center"/>
          </w:tcPr>
          <w:p w14:paraId="655D5761">
            <w:pPr>
              <w:spacing w:line="500" w:lineRule="exact"/>
              <w:ind w:right="-788" w:rightChars="-375"/>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型号及规格</w:t>
            </w:r>
          </w:p>
        </w:tc>
        <w:tc>
          <w:tcPr>
            <w:tcW w:w="1778" w:type="dxa"/>
            <w:vAlign w:val="center"/>
          </w:tcPr>
          <w:p w14:paraId="48EE11DC">
            <w:pPr>
              <w:spacing w:line="500" w:lineRule="exact"/>
              <w:ind w:right="-788" w:rightChars="-375"/>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数量（单位）</w:t>
            </w:r>
          </w:p>
        </w:tc>
        <w:tc>
          <w:tcPr>
            <w:tcW w:w="1778" w:type="dxa"/>
            <w:vAlign w:val="center"/>
          </w:tcPr>
          <w:p w14:paraId="702FF4CB">
            <w:pPr>
              <w:spacing w:line="500" w:lineRule="exact"/>
              <w:ind w:right="-788" w:rightChars="-375"/>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 xml:space="preserve"> 单价（元）</w:t>
            </w:r>
          </w:p>
        </w:tc>
        <w:tc>
          <w:tcPr>
            <w:tcW w:w="1780" w:type="dxa"/>
            <w:vAlign w:val="center"/>
          </w:tcPr>
          <w:p w14:paraId="7ACF01B5">
            <w:pPr>
              <w:spacing w:line="500" w:lineRule="exact"/>
              <w:ind w:right="-788" w:rightChars="-375"/>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 xml:space="preserve"> 总价（元）</w:t>
            </w:r>
          </w:p>
        </w:tc>
      </w:tr>
      <w:tr w14:paraId="4F1E4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778" w:type="dxa"/>
            <w:tcBorders>
              <w:top w:val="nil"/>
              <w:left w:val="single" w:color="auto" w:sz="4" w:space="0"/>
              <w:bottom w:val="single" w:color="auto" w:sz="4" w:space="0"/>
              <w:right w:val="single" w:color="auto" w:sz="4" w:space="0"/>
            </w:tcBorders>
            <w:vAlign w:val="center"/>
          </w:tcPr>
          <w:p w14:paraId="6E3BC262">
            <w:pPr>
              <w:widowControl/>
              <w:spacing w:line="500" w:lineRule="exact"/>
              <w:jc w:val="center"/>
              <w:rPr>
                <w:rFonts w:ascii="仿宋_GB2312" w:hAnsi="仿宋_GB2312" w:eastAsia="仿宋_GB2312" w:cs="仿宋_GB2312"/>
                <w:color w:val="000000" w:themeColor="text1"/>
                <w:kern w:val="0"/>
                <w:sz w:val="24"/>
                <w:szCs w:val="24"/>
                <w14:textFill>
                  <w14:solidFill>
                    <w14:schemeClr w14:val="tx1"/>
                  </w14:solidFill>
                </w14:textFill>
              </w:rPr>
            </w:pPr>
          </w:p>
        </w:tc>
        <w:tc>
          <w:tcPr>
            <w:tcW w:w="1778" w:type="dxa"/>
            <w:tcBorders>
              <w:top w:val="nil"/>
              <w:left w:val="nil"/>
              <w:bottom w:val="single" w:color="auto" w:sz="4" w:space="0"/>
              <w:right w:val="single" w:color="auto" w:sz="4" w:space="0"/>
            </w:tcBorders>
            <w:vAlign w:val="center"/>
          </w:tcPr>
          <w:p w14:paraId="059D26A9">
            <w:pPr>
              <w:spacing w:line="500" w:lineRule="exact"/>
              <w:ind w:right="-130" w:rightChars="-62"/>
              <w:jc w:val="center"/>
              <w:rPr>
                <w:rFonts w:ascii="仿宋_GB2312" w:hAnsi="仿宋_GB2312" w:eastAsia="仿宋_GB2312" w:cs="仿宋_GB2312"/>
                <w:color w:val="000000" w:themeColor="text1"/>
                <w:sz w:val="24"/>
                <w:szCs w:val="24"/>
                <w14:textFill>
                  <w14:solidFill>
                    <w14:schemeClr w14:val="tx1"/>
                  </w14:solidFill>
                </w14:textFill>
              </w:rPr>
            </w:pPr>
          </w:p>
        </w:tc>
        <w:tc>
          <w:tcPr>
            <w:tcW w:w="1778" w:type="dxa"/>
            <w:vAlign w:val="center"/>
          </w:tcPr>
          <w:p w14:paraId="78E0DB03">
            <w:pPr>
              <w:spacing w:line="500" w:lineRule="exact"/>
              <w:ind w:right="-130" w:rightChars="-62"/>
              <w:jc w:val="center"/>
              <w:rPr>
                <w:rFonts w:ascii="仿宋_GB2312" w:hAnsi="仿宋_GB2312" w:eastAsia="仿宋_GB2312" w:cs="仿宋_GB2312"/>
                <w:color w:val="000000" w:themeColor="text1"/>
                <w:sz w:val="24"/>
                <w:szCs w:val="24"/>
                <w14:textFill>
                  <w14:solidFill>
                    <w14:schemeClr w14:val="tx1"/>
                  </w14:solidFill>
                </w14:textFill>
              </w:rPr>
            </w:pPr>
          </w:p>
        </w:tc>
        <w:tc>
          <w:tcPr>
            <w:tcW w:w="1778" w:type="dxa"/>
            <w:tcBorders>
              <w:top w:val="nil"/>
              <w:left w:val="nil"/>
              <w:bottom w:val="single" w:color="auto" w:sz="4" w:space="0"/>
              <w:right w:val="single" w:color="auto" w:sz="4" w:space="0"/>
            </w:tcBorders>
            <w:vAlign w:val="center"/>
          </w:tcPr>
          <w:p w14:paraId="653EF614">
            <w:pPr>
              <w:spacing w:line="500" w:lineRule="exact"/>
              <w:ind w:right="-130" w:rightChars="-62"/>
              <w:jc w:val="center"/>
              <w:rPr>
                <w:rFonts w:ascii="仿宋_GB2312" w:hAnsi="仿宋_GB2312" w:eastAsia="仿宋_GB2312" w:cs="仿宋_GB2312"/>
                <w:color w:val="000000" w:themeColor="text1"/>
                <w:sz w:val="24"/>
                <w:szCs w:val="24"/>
                <w14:textFill>
                  <w14:solidFill>
                    <w14:schemeClr w14:val="tx1"/>
                  </w14:solidFill>
                </w14:textFill>
              </w:rPr>
            </w:pPr>
          </w:p>
        </w:tc>
        <w:tc>
          <w:tcPr>
            <w:tcW w:w="1780" w:type="dxa"/>
            <w:tcBorders>
              <w:top w:val="nil"/>
              <w:left w:val="nil"/>
              <w:bottom w:val="single" w:color="auto" w:sz="4" w:space="0"/>
              <w:right w:val="single" w:color="auto" w:sz="4" w:space="0"/>
            </w:tcBorders>
            <w:vAlign w:val="center"/>
          </w:tcPr>
          <w:p w14:paraId="3B733E00">
            <w:pPr>
              <w:widowControl/>
              <w:spacing w:line="500" w:lineRule="exact"/>
              <w:jc w:val="center"/>
              <w:rPr>
                <w:rFonts w:ascii="仿宋_GB2312" w:hAnsi="仿宋_GB2312" w:eastAsia="仿宋_GB2312" w:cs="仿宋_GB2312"/>
                <w:color w:val="000000" w:themeColor="text1"/>
                <w:sz w:val="24"/>
                <w:szCs w:val="24"/>
                <w14:textFill>
                  <w14:solidFill>
                    <w14:schemeClr w14:val="tx1"/>
                  </w14:solidFill>
                </w14:textFill>
              </w:rPr>
            </w:pPr>
          </w:p>
        </w:tc>
      </w:tr>
      <w:tr w14:paraId="5F3D8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8" w:type="dxa"/>
            <w:vAlign w:val="center"/>
          </w:tcPr>
          <w:p w14:paraId="586CCE03">
            <w:pPr>
              <w:spacing w:line="500" w:lineRule="exact"/>
              <w:ind w:right="-130" w:rightChars="-62"/>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合计（元）</w:t>
            </w:r>
          </w:p>
        </w:tc>
        <w:tc>
          <w:tcPr>
            <w:tcW w:w="7114" w:type="dxa"/>
            <w:gridSpan w:val="4"/>
            <w:vAlign w:val="center"/>
          </w:tcPr>
          <w:p w14:paraId="612839C8">
            <w:pPr>
              <w:spacing w:line="500" w:lineRule="exact"/>
              <w:ind w:right="-788" w:rightChars="-375"/>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人民币：（大写：         ）</w:t>
            </w:r>
          </w:p>
        </w:tc>
      </w:tr>
    </w:tbl>
    <w:p w14:paraId="5797D864">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最终结算价以甲乙双方最终实际结算确定的金额为准，但最终结算价不得超过上述合同约定总价，最终结算价超过上述合同约定总价的，按上述合同约定总价结算。</w:t>
      </w:r>
    </w:p>
    <w:p w14:paraId="77556817">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本合同总价为包干价格，包含但不限于原材料和配件费、生产加工、调试，通过有关主管部门的验收，运至合同指定地点的包装、运输、装卸、保险、技术培训等服务，检查，及保修、利润、风险金、国家规定的各项税费等一切可能发生的费用，乙方不得以任何理由向甲方要求增加任何费用。</w:t>
      </w:r>
    </w:p>
    <w:p w14:paraId="22872C8C">
      <w:pPr>
        <w:spacing w:line="520" w:lineRule="exact"/>
        <w:ind w:right="-788" w:rightChars="-375"/>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第二条 合同标的物质量要求</w:t>
      </w:r>
    </w:p>
    <w:p w14:paraId="36C4C9CE">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乙方提供的</w:t>
      </w:r>
      <w:r>
        <w:rPr>
          <w:rFonts w:hint="eastAsia" w:ascii="仿宋_GB2312" w:hAnsi="仿宋_GB2312" w:eastAsia="仿宋_GB2312" w:cs="仿宋_GB2312"/>
          <w:color w:val="000000" w:themeColor="text1"/>
          <w:sz w:val="28"/>
          <w:szCs w:val="28"/>
          <w14:textFill>
            <w14:solidFill>
              <w14:schemeClr w14:val="tx1"/>
            </w14:solidFill>
          </w14:textFill>
        </w:rPr>
        <w:t>合同标的物</w:t>
      </w:r>
      <w:r>
        <w:rPr>
          <w:rFonts w:hint="eastAsia" w:ascii="仿宋_GB2312" w:hAnsi="仿宋_GB2312" w:eastAsia="仿宋_GB2312" w:cs="仿宋_GB2312"/>
          <w:color w:val="000000" w:themeColor="text1"/>
          <w:kern w:val="24"/>
          <w:sz w:val="28"/>
          <w:szCs w:val="28"/>
          <w14:textFill>
            <w14:solidFill>
              <w14:schemeClr w14:val="tx1"/>
            </w14:solidFill>
          </w14:textFill>
        </w:rPr>
        <w:t>应保证是原装全新正品，且</w:t>
      </w:r>
      <w:r>
        <w:rPr>
          <w:rFonts w:hint="eastAsia" w:ascii="仿宋_GB2312" w:hAnsi="仿宋_GB2312" w:eastAsia="仿宋_GB2312" w:cs="仿宋_GB2312"/>
          <w:color w:val="000000" w:themeColor="text1"/>
          <w:sz w:val="28"/>
          <w:szCs w:val="28"/>
          <w14:textFill>
            <w14:solidFill>
              <w14:schemeClr w14:val="tx1"/>
            </w14:solidFill>
          </w14:textFill>
        </w:rPr>
        <w:t>合同标的物</w:t>
      </w:r>
      <w:r>
        <w:rPr>
          <w:rFonts w:hint="eastAsia" w:ascii="仿宋_GB2312" w:hAnsi="仿宋_GB2312" w:eastAsia="仿宋_GB2312" w:cs="仿宋_GB2312"/>
          <w:color w:val="000000" w:themeColor="text1"/>
          <w:kern w:val="24"/>
          <w:sz w:val="28"/>
          <w:szCs w:val="28"/>
          <w14:textFill>
            <w14:solidFill>
              <w14:schemeClr w14:val="tx1"/>
            </w14:solidFill>
          </w14:textFill>
        </w:rPr>
        <w:t>不侵犯任何第三人的知识产权;乙方应保证其提供的</w:t>
      </w:r>
      <w:r>
        <w:rPr>
          <w:rFonts w:hint="eastAsia" w:ascii="仿宋_GB2312" w:hAnsi="仿宋_GB2312" w:eastAsia="仿宋_GB2312" w:cs="仿宋_GB2312"/>
          <w:color w:val="000000" w:themeColor="text1"/>
          <w:sz w:val="28"/>
          <w:szCs w:val="28"/>
          <w14:textFill>
            <w14:solidFill>
              <w14:schemeClr w14:val="tx1"/>
            </w14:solidFill>
          </w14:textFill>
        </w:rPr>
        <w:t>合同标的物</w:t>
      </w:r>
      <w:r>
        <w:rPr>
          <w:rFonts w:hint="eastAsia" w:ascii="仿宋_GB2312" w:hAnsi="仿宋_GB2312" w:eastAsia="仿宋_GB2312" w:cs="仿宋_GB2312"/>
          <w:color w:val="000000" w:themeColor="text1"/>
          <w:kern w:val="24"/>
          <w:sz w:val="28"/>
          <w:szCs w:val="28"/>
          <w14:textFill>
            <w14:solidFill>
              <w14:schemeClr w14:val="tx1"/>
            </w14:solidFill>
          </w14:textFill>
        </w:rPr>
        <w:t>在其使用寿命内具有良好的性能。</w:t>
      </w:r>
    </w:p>
    <w:p w14:paraId="367EC099">
      <w:pPr>
        <w:spacing w:line="520" w:lineRule="exact"/>
        <w:ind w:right="-788" w:rightChars="-375"/>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第三条 合同标的物交付及验收标准</w:t>
      </w:r>
    </w:p>
    <w:p w14:paraId="37AF827A">
      <w:pPr>
        <w:spacing w:line="520" w:lineRule="exact"/>
        <w:ind w:right="105" w:rightChars="50" w:firstLine="562" w:firstLineChars="200"/>
        <w:outlineLvl w:val="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（一）双方约定，按第1种交付方式：</w:t>
      </w:r>
    </w:p>
    <w:p w14:paraId="632D5471">
      <w:pPr>
        <w:spacing w:line="520" w:lineRule="exact"/>
        <w:ind w:right="105" w:rightChars="50" w:firstLine="560"/>
        <w:rPr>
          <w:rFonts w:ascii="仿宋_GB2312" w:hAnsi="仿宋_GB2312" w:eastAsia="仿宋_GB2312" w:cs="仿宋_GB2312"/>
          <w:b/>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（1）乙方应在合同生效后</w:t>
      </w:r>
      <w:r>
        <w:rPr>
          <w:rFonts w:hint="eastAsia" w:ascii="仿宋_GB2312" w:hAnsi="仿宋_GB2312" w:eastAsia="仿宋_GB2312" w:cs="仿宋_GB2312"/>
          <w:color w:val="000000" w:themeColor="text1"/>
          <w:sz w:val="28"/>
          <w:szCs w:val="28"/>
          <w14:textFill>
            <w14:solidFill>
              <w14:schemeClr w14:val="tx1"/>
            </w14:solidFill>
          </w14:textFill>
        </w:rPr>
        <w:t>日内一次性向甲方交付合同标的物，并由乙方承担运输费用。</w:t>
      </w:r>
    </w:p>
    <w:p w14:paraId="5D0D4FE3">
      <w:pPr>
        <w:spacing w:line="520" w:lineRule="exact"/>
        <w:ind w:right="105" w:rightChars="50" w:firstLine="56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（2）</w:t>
      </w:r>
      <w:r>
        <w:rPr>
          <w:rFonts w:hint="eastAsia" w:ascii="仿宋_GB2312" w:hAnsi="仿宋_GB2312" w:eastAsia="仿宋_GB2312" w:cs="仿宋_GB2312"/>
          <w:color w:val="000000" w:themeColor="text1"/>
          <w:sz w:val="28"/>
          <w:szCs w:val="28"/>
          <w14:textFill>
            <w14:solidFill>
              <w14:schemeClr w14:val="tx1"/>
            </w14:solidFill>
          </w14:textFill>
        </w:rPr>
        <w:t>乙方应在合同生效后日内第一次向甲方交付合同标的物（交付的数量按照甲方的要求），并根据甲方要求分批供货，于合同生效后日内完成全部标的物的供货，并由乙方承担运输费用。</w:t>
      </w:r>
    </w:p>
    <w:p w14:paraId="62BE9353">
      <w:pPr>
        <w:spacing w:line="520" w:lineRule="exact"/>
        <w:ind w:right="105" w:rightChars="50" w:firstLine="562" w:firstLineChars="200"/>
        <w:outlineLvl w:val="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（二）交付地点：</w:t>
      </w:r>
    </w:p>
    <w:p w14:paraId="4426CB84">
      <w:pPr>
        <w:spacing w:line="520" w:lineRule="exact"/>
        <w:ind w:firstLine="562" w:firstLineChars="200"/>
        <w:outlineLvl w:val="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14:textFill>
            <w14:solidFill>
              <w14:schemeClr w14:val="tx1"/>
            </w14:solidFill>
          </w14:textFill>
        </w:rPr>
        <w:t>（三）验收标准：</w:t>
      </w:r>
      <w:r>
        <w:rPr>
          <w:rFonts w:hint="eastAsia" w:ascii="仿宋_GB2312" w:hAnsi="仿宋_GB2312" w:eastAsia="仿宋_GB2312" w:cs="仿宋_GB2312"/>
          <w:color w:val="000000" w:themeColor="text1"/>
          <w:sz w:val="28"/>
          <w:szCs w:val="28"/>
          <w14:textFill>
            <w14:solidFill>
              <w14:schemeClr w14:val="tx1"/>
            </w14:solidFill>
          </w14:textFill>
        </w:rPr>
        <w:t>（可根据实际进行增加相应条款）</w:t>
      </w:r>
    </w:p>
    <w:p w14:paraId="1F5A642B">
      <w:pPr>
        <w:spacing w:line="520" w:lineRule="exact"/>
        <w:ind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1、乙方应采取防潮、防雨、防撞、防锈等相应措施对合同标的物进行包装，确保货物在正常作业和装卸条件下安全无损地到达甲方指定地点。</w:t>
      </w:r>
    </w:p>
    <w:p w14:paraId="69C17799">
      <w:pPr>
        <w:spacing w:line="520" w:lineRule="exact"/>
        <w:ind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2、合同标的物到达甲方指定地点后，乙方负责卸货至指定场所，甲方验收合格后签发验收报告单并加盖单位公章，甲方验收合格前合同标的物的毁损灭失风险由乙方承担。</w:t>
      </w:r>
    </w:p>
    <w:p w14:paraId="3E160857">
      <w:pPr>
        <w:spacing w:line="520" w:lineRule="exact"/>
        <w:ind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3、到货验收内容：型号、规格、数量、外观质量等。到货验收不视为对货物质量和性能的完全确认，需要在收货后一段时间或经运行才能发现的质量瑕疵，甲方仍可向乙方提出质量异议。</w:t>
      </w:r>
    </w:p>
    <w:p w14:paraId="6E4AD0B0">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4、乙方交付合同标的物</w:t>
      </w:r>
      <w:r>
        <w:rPr>
          <w:rFonts w:hint="eastAsia" w:ascii="仿宋_GB2312" w:hAnsi="仿宋_GB2312" w:eastAsia="仿宋_GB2312" w:cs="仿宋_GB2312"/>
          <w:color w:val="000000" w:themeColor="text1"/>
          <w:sz w:val="28"/>
          <w:szCs w:val="28"/>
          <w14:textFill>
            <w14:solidFill>
              <w14:schemeClr w14:val="tx1"/>
            </w14:solidFill>
          </w14:textFill>
        </w:rPr>
        <w:t>需附使用说明书、出厂合格证原材料检测报告【国家认可的市级以上第三方检测机构出具的检测报告】、发票等相关资料。</w:t>
      </w:r>
    </w:p>
    <w:p w14:paraId="4734DD08">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w:t>
      </w:r>
      <w:r>
        <w:rPr>
          <w:rFonts w:ascii="仿宋_GB2312" w:hAnsi="仿宋_GB2312" w:eastAsia="仿宋_GB2312" w:cs="仿宋_GB2312"/>
          <w:color w:val="000000" w:themeColor="text1"/>
          <w:sz w:val="28"/>
          <w:szCs w:val="28"/>
          <w14:textFill>
            <w14:solidFill>
              <w14:schemeClr w14:val="tx1"/>
            </w14:solidFill>
          </w14:textFill>
        </w:rPr>
        <w:t>乙方</w:t>
      </w:r>
      <w:r>
        <w:rPr>
          <w:rFonts w:hint="eastAsia" w:ascii="仿宋_GB2312" w:hAnsi="仿宋_GB2312" w:eastAsia="仿宋_GB2312" w:cs="仿宋_GB2312"/>
          <w:color w:val="000000" w:themeColor="text1"/>
          <w:sz w:val="28"/>
          <w:szCs w:val="28"/>
          <w14:textFill>
            <w14:solidFill>
              <w14:schemeClr w14:val="tx1"/>
            </w14:solidFill>
          </w14:textFill>
        </w:rPr>
        <w:t>须保证所投货物货源充足，不得缺货。</w:t>
      </w:r>
    </w:p>
    <w:p w14:paraId="521067BA">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6、所提供货物的食品生产厂家须有 QS认证，能按批次检测产品，并提供产品批次检验资料。</w:t>
      </w:r>
    </w:p>
    <w:p w14:paraId="5A683305">
      <w:pPr>
        <w:pStyle w:val="8"/>
        <w:spacing w:after="0" w:line="51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7、货物包装要密封，无破损。凡由于包装不良造成的损失和由此产生的费用均由中标人承担。</w:t>
      </w:r>
    </w:p>
    <w:p w14:paraId="6A7A2898">
      <w:pPr>
        <w:pStyle w:val="8"/>
        <w:spacing w:after="0"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8、</w:t>
      </w:r>
      <w:r>
        <w:rPr>
          <w:rFonts w:ascii="仿宋_GB2312" w:hAnsi="仿宋_GB2312" w:eastAsia="仿宋_GB2312" w:cs="仿宋_GB2312"/>
          <w:color w:val="000000" w:themeColor="text1"/>
          <w:sz w:val="28"/>
          <w:szCs w:val="28"/>
          <w14:textFill>
            <w14:solidFill>
              <w14:schemeClr w14:val="tx1"/>
            </w14:solidFill>
          </w14:textFill>
        </w:rPr>
        <w:t>乙方提供的产品必须符合国家的相关标准与要求，不得提供转基因食品或利用转基因食品原料加工的成品，国家出台新的更高标准的，以新的更高标准为准。</w:t>
      </w:r>
    </w:p>
    <w:p w14:paraId="6B7450FE">
      <w:pPr>
        <w:spacing w:line="520" w:lineRule="exact"/>
        <w:ind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p>
    <w:p w14:paraId="68541130">
      <w:pPr>
        <w:spacing w:line="520" w:lineRule="exact"/>
        <w:ind w:right="-92" w:rightChars="-44"/>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第四条 支付方式</w:t>
      </w:r>
    </w:p>
    <w:p w14:paraId="7C245472">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1、甲方收到并验收本合同所涉的全部货物，同时，乙方提供等额增值税发票后，甲方按照政府财政审批程序申请本合同所涉的款项，并且在财政资金审核完毕资金到位后，甲方一次性向乙方支付款项。</w:t>
      </w:r>
    </w:p>
    <w:p w14:paraId="18C89CD7">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2、甲方根据乙方提供的账户信息支付款项，乙方应当保证其提供的账户信息真实、准确，乙方的账户信息发生变化的，应至少于甲方付款前10个工作日内书面通知甲方，否则由此导致的错付、无法支付等所有法律后果均由乙方自行承担。 </w:t>
      </w:r>
    </w:p>
    <w:p w14:paraId="6335AEA8">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3、乙方的收款账户信息：  </w:t>
      </w:r>
    </w:p>
    <w:p w14:paraId="1D7A58F9">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户名：</w:t>
      </w:r>
    </w:p>
    <w:p w14:paraId="79B3F82F">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开户行：</w:t>
      </w:r>
    </w:p>
    <w:p w14:paraId="084517F7">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账号：</w:t>
      </w:r>
    </w:p>
    <w:p w14:paraId="5DB51FFE">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4、甲方付款前，乙方应当向甲方出具符合甲方要求的正式发票，否则甲方有权暂不付款且不承担任何责任。</w:t>
      </w:r>
    </w:p>
    <w:p w14:paraId="08993522">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5、如因审计或财政拨款审批程序等时间问题导致付款迟延的，不构成甲方违约行为，不承担违约责任。</w:t>
      </w:r>
    </w:p>
    <w:p w14:paraId="7898155E">
      <w:pPr>
        <w:spacing w:line="520" w:lineRule="exact"/>
        <w:outlineLvl w:val="0"/>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第五条 权利和义务</w:t>
      </w:r>
    </w:p>
    <w:p w14:paraId="7D78A3F1">
      <w:pPr>
        <w:spacing w:line="520" w:lineRule="exact"/>
        <w:ind w:firstLine="562"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（一）甲方的权利义务</w:t>
      </w:r>
      <w:r>
        <w:rPr>
          <w:rFonts w:hint="eastAsia" w:ascii="仿宋_GB2312" w:hAnsi="仿宋_GB2312" w:eastAsia="仿宋_GB2312" w:cs="仿宋_GB2312"/>
          <w:color w:val="000000" w:themeColor="text1"/>
          <w:sz w:val="28"/>
          <w:szCs w:val="28"/>
          <w14:textFill>
            <w14:solidFill>
              <w14:schemeClr w14:val="tx1"/>
            </w14:solidFill>
          </w14:textFill>
        </w:rPr>
        <w:t>（可根据实际进行增加相应条款）</w:t>
      </w:r>
    </w:p>
    <w:p w14:paraId="18364ADE">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1、甲方应在合理时间内接收合同标的物并验收。</w:t>
      </w:r>
    </w:p>
    <w:p w14:paraId="75E2D2EE">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2、按合同约定支付价款。</w:t>
      </w:r>
    </w:p>
    <w:p w14:paraId="19C2DBB7">
      <w:pPr>
        <w:spacing w:line="520" w:lineRule="exact"/>
        <w:ind w:firstLine="562" w:firstLineChars="20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（二）乙方的权利义务</w:t>
      </w:r>
      <w:r>
        <w:rPr>
          <w:rFonts w:hint="eastAsia" w:ascii="仿宋_GB2312" w:hAnsi="仿宋_GB2312" w:eastAsia="仿宋_GB2312" w:cs="仿宋_GB2312"/>
          <w:color w:val="000000" w:themeColor="text1"/>
          <w:sz w:val="28"/>
          <w:szCs w:val="28"/>
          <w14:textFill>
            <w14:solidFill>
              <w14:schemeClr w14:val="tx1"/>
            </w14:solidFill>
          </w14:textFill>
        </w:rPr>
        <w:t>（可根据实际进行增加相应条款）</w:t>
      </w:r>
    </w:p>
    <w:p w14:paraId="6373BAA5">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1、乙方应按甲方要求，运送符合合同约定的合同标的物到指定地点，在甲方对标的物确认无误后将标的物交付甲方</w:t>
      </w:r>
      <w:r>
        <w:rPr>
          <w:rFonts w:hint="eastAsia" w:ascii="仿宋_GB2312" w:hAnsi="仿宋_GB2312" w:eastAsia="仿宋_GB2312" w:cs="仿宋_GB2312"/>
          <w:color w:val="000000" w:themeColor="text1"/>
          <w:kern w:val="24"/>
          <w:sz w:val="28"/>
          <w:szCs w:val="28"/>
          <w14:textFill>
            <w14:solidFill>
              <w14:schemeClr w14:val="tx1"/>
            </w14:solidFill>
          </w14:textFill>
        </w:rPr>
        <w:t>。</w:t>
      </w:r>
    </w:p>
    <w:p w14:paraId="69CC2A80">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2、乙方不得未经甲方同意，将本合同义务部分或全部转让给第三方。</w:t>
      </w:r>
    </w:p>
    <w:p w14:paraId="5887532E">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3、乙方应保证提供的标的物无隐藏的质量瑕疵，无任何安全隐患且保证安全包装和运输，如因质量问题导致他人人身、财产受损的，乙方应承担全部赔偿责任，甲方不承担任何责任。</w:t>
      </w:r>
    </w:p>
    <w:p w14:paraId="5A8EEE04">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4、乙方应按相关法律法规与乙方在履行本合同过程中所涉及的乙方相关人员签订劳动或劳务合同，支付乙方相关人员的薪资、五险一金、福利、补贴等全部费用，甲方无需向乙方相关人员支付任何费用，乙方若与乙方相关人员发生任何纠纷与甲方无关，甲方不承担任何责任。</w:t>
      </w:r>
    </w:p>
    <w:p w14:paraId="384DF548">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5、乙方相关人员在甲方工作范围内进行标的物的相关作业时须遵守甲方的规章制度，不得影响甲方的工作，如因乙方原因造成他人的人身和财产损失的，乙方应承担全部赔偿责任，甲方不承担任何责任。</w:t>
      </w:r>
    </w:p>
    <w:p w14:paraId="21C79F3A">
      <w:pPr>
        <w:spacing w:line="52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6、乙方相关人员在作业期间非因甲方原因遭受人身、财产损害的，或是因个人身体原因突发疾病的，由乙方负责处理和承担相应的赔偿责任，甲方不承担任何责任。</w:t>
      </w:r>
    </w:p>
    <w:p w14:paraId="02344645">
      <w:pPr>
        <w:spacing w:line="520" w:lineRule="exact"/>
        <w:ind w:right="-92" w:rightChars="-44"/>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第六条  知识产权</w:t>
      </w:r>
    </w:p>
    <w:p w14:paraId="2A788282">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1、乙方提供的合同标的物需要使用第三方知识产权的，应取得权利人许可或者授权并由乙方承担费用。</w:t>
      </w:r>
    </w:p>
    <w:p w14:paraId="6C338CF8">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2、乙方保证所提供的合同标的物不存在侵犯第三方合法权益 (包括但不限于著作权、商标权、专利权等知识产权和物权等)的情形。如果任何第三方提出侵权指控，乙方须与该第三方交涉并承担由此发生的一切责任、费用和赔偿。</w:t>
      </w:r>
    </w:p>
    <w:p w14:paraId="10B3EB7A">
      <w:pPr>
        <w:spacing w:line="520" w:lineRule="exact"/>
        <w:ind w:right="-92" w:rightChars="-44"/>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第七条 保密条款</w:t>
      </w:r>
    </w:p>
    <w:p w14:paraId="615D51A7">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1、除本合同另有约定外，乙方对其因履行本合同所知悉的与本项目相关的信息以及甲方其他未公开的信息，应当采取适当有效的方式予以保密。乙方仅得在本合同规定的范围内使用上述资料及信息，未经甲方事先书面同意，不得复制或披露给任何第三方。乙方对保密信息发生的被盗、泄露、或其他有损信息保密性的事件承担全部责任，因此给甲方造成损失的，乙方应予赔偿。</w:t>
      </w:r>
    </w:p>
    <w:p w14:paraId="5412658F">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2、乙方在提供服务过程中接触或产生涉密数据的，应严格按《中华人民共和国保守国家秘密法》以及其他相关法律法规和制度执行。如由于乙方的原因而导致泄密的，乙方应承担一切法律责任。</w:t>
      </w:r>
    </w:p>
    <w:p w14:paraId="60CEFC62">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3、未经甲方书面同意，乙方不得出于任何目的向第三方泄露本合同的任何内容及本合同的签订、履行情况，国家司法机关或监管机构要求提供的除外。</w:t>
      </w:r>
    </w:p>
    <w:p w14:paraId="7FB528D8">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4、乙方承担的保密责任期限自本合同签署之日起至甲方公开有关的保密信息之日止。上述保密义务不因本合同的终止、全部或部分条款无效而终止或无效。</w:t>
      </w:r>
    </w:p>
    <w:p w14:paraId="63ECE03A">
      <w:pPr>
        <w:spacing w:line="520" w:lineRule="exact"/>
        <w:outlineLvl w:val="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第八条 违约责任</w:t>
      </w:r>
      <w:r>
        <w:rPr>
          <w:rFonts w:hint="eastAsia" w:ascii="仿宋_GB2312" w:hAnsi="仿宋_GB2312" w:eastAsia="仿宋_GB2312" w:cs="仿宋_GB2312"/>
          <w:color w:val="000000" w:themeColor="text1"/>
          <w:kern w:val="24"/>
          <w:sz w:val="28"/>
          <w:szCs w:val="28"/>
          <w14:textFill>
            <w14:solidFill>
              <w14:schemeClr w14:val="tx1"/>
            </w14:solidFill>
          </w14:textFill>
        </w:rPr>
        <w:t>（可根据实际进行增加相应条款）</w:t>
      </w:r>
    </w:p>
    <w:p w14:paraId="544B8DDF">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乙方在指定送货日期内每延迟一日交货的，应向甲方支付逾期交付部分货物合同总价款1%的违约金，但该项违约金总额不超过逾期交付部分货物合同总价款的5%。逾期交货超过三十日，且该逾期部分货物数量占合同总标的物数量三分之一以上（含三分之一）的，甲方有权单方解除合同。合同解除后，乙方应在5个工作日内返还甲方已支付的全部款项，并按照合同总价的5% 向甲方支付违约金。</w:t>
      </w:r>
    </w:p>
    <w:p w14:paraId="00FC0F9F">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乙方提供的标的物经检验不符合合同约定或者货物规格、型号、品种等与合同约定不符的，甲方有权要求乙方在3日内采取更换、置换等补救措施。因采取补救措施导致延期交付的，乙方应按照本合同第1条的约定承担延期交付的违约责任。若乙方未在约定时间内采取有效补救措施，或标的物缺陷无法补救，致使不能实现合同目的的，甲方方可按本合同第1条约定行使解除权。</w:t>
      </w:r>
    </w:p>
    <w:p w14:paraId="48484250">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    3.乙方未按合同约定提供售后服务的，接到甲方（会员）投诉的，经核实属实的，责任在乙方的，乙方按单笔会员金额*20%/每次（单笔会员金额：即会员此次购买商品总金额）向甲方支付违约金，违约金累计计算。</w:t>
      </w:r>
    </w:p>
    <w:p w14:paraId="59F2457A">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4.乙方未经甲方书面同意将本合同义务部分或全部转让给第三方的，甲方有权单方解除合同。合同解除后，乙方应在5个工作日内返还甲方已支付的全部款项，并按照合同总价30% 向甲方支付违约金，并赔偿对甲方因此所造成的损失。</w:t>
      </w:r>
    </w:p>
    <w:p w14:paraId="4318813C">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5.因乙方自身原因单方终止合同履行的，甲方有权不予支付尚未支付的合同款项，同时甲方已支付的款项应无条件退回，乙方还应按照合同总价的10%向甲方支付违约金，并赔偿对甲方因此所造成的损失。</w:t>
      </w:r>
    </w:p>
    <w:p w14:paraId="261DB17F">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6.如因乙方提供的产品侵犯第三方知识产权或任何第三方向甲方提出的侵权诉讼或索赔，概由乙方承担一切处理、应诉和赔偿等法律责任，甲方有权单方解除合同，并无需支付任何合同款项(甲方已支付的全部款项乙方应无条件退回)，同时乙方还应按照合同总价的10%向甲方支付违约金，并赔偿对甲方因此所造成的损失。</w:t>
      </w:r>
    </w:p>
    <w:p w14:paraId="67169AEB">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7.乙方如有任何违反本合同所约定的保密条款的行为，甲方有权单方解除合同，并无需支付任何合同款项(甲方已支付的全部款项乙方应无条件退回)，同时乙方还应按照合同总价的10%向甲方支付违约金，并赔偿对甲方因此所造成的损失。</w:t>
      </w:r>
    </w:p>
    <w:p w14:paraId="6A0C317D">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8.乙方提供的产品存在严重质量问题或因质量问题引起中毒事件的，甲方有权单方面解除本合同，无需支付任何合同款项（甲方已支付的全部款项乙方应无条件退回），同时乙方还应按照合同总价的10%向甲方支付违约金，并赔偿对甲方因此所造成的损失。</w:t>
      </w:r>
    </w:p>
    <w:p w14:paraId="1E0BA1B3">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9.因乙方违约导致甲方支出的律师费、诉讼费、保全费、担保费、公证费、鉴定费、差旅费等费用，由乙方承担。</w:t>
      </w:r>
    </w:p>
    <w:p w14:paraId="5CEF45EC">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10.如发现乙方提供的线上平台的商品价格高于深圳市主流商场（如天虹、华润万家、沃尔玛等）、天猫旗舰店、京东自营店同款商品售卖价格（非促销价或折扣价）的平均值，乙方应在收到通知后5个工作日内，退还该商品价格高于市场价</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平均值</w:t>
      </w:r>
      <w:r>
        <w:rPr>
          <w:rFonts w:hint="eastAsia" w:ascii="仿宋_GB2312" w:hAnsi="仿宋_GB2312" w:eastAsia="仿宋_GB2312" w:cs="仿宋_GB2312"/>
          <w:color w:val="000000" w:themeColor="text1"/>
          <w:sz w:val="28"/>
          <w:szCs w:val="28"/>
          <w14:textFill>
            <w14:solidFill>
              <w14:schemeClr w14:val="tx1"/>
            </w14:solidFill>
          </w14:textFill>
        </w:rPr>
        <w:t>的差额部分，并按该差价的5倍向甲方（会员）支付补偿金。</w:t>
      </w:r>
    </w:p>
    <w:p w14:paraId="551B5CB7">
      <w:pPr>
        <w:spacing w:line="520" w:lineRule="exact"/>
        <w:ind w:right="-92" w:rightChars="-44"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11.如发现乙方在产品中掺杂掺假、以假充真、以次充好或不合格产品冒充合格产品的，乙方应支付该商品总价10倍的违约金，并将违约金给甲方（会员）以作补偿，并赔偿对甲方造成的损失。</w:t>
      </w:r>
    </w:p>
    <w:p w14:paraId="58F00DC3">
      <w:pPr>
        <w:spacing w:line="520" w:lineRule="exact"/>
        <w:ind w:right="-92" w:rightChars="-44"/>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第九条 不可抗力</w:t>
      </w:r>
    </w:p>
    <w:p w14:paraId="0C4CE42F">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在本合同履行期间，如甲、乙任何一方因战争(不论是否宣战)、动乱、地震、飓风、洪灾、台风、火山爆发、暴风雨、严重的火灾、政府行为或该方不能合理预见、不能避免并不能克服的任何其他不可抗力事件，致使该方不能全部或部分履行其合同义务或延迟履行合同义务，免除该方的违约责任。</w:t>
      </w:r>
    </w:p>
    <w:p w14:paraId="7CDA9997">
      <w:pPr>
        <w:spacing w:line="520" w:lineRule="exact"/>
        <w:ind w:right="-92" w:rightChars="-44"/>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第十条 争议的解决</w:t>
      </w:r>
    </w:p>
    <w:p w14:paraId="694330BC">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kern w:val="24"/>
          <w:sz w:val="28"/>
          <w:szCs w:val="28"/>
          <w14:textFill>
            <w14:solidFill>
              <w14:schemeClr w14:val="tx1"/>
            </w14:solidFill>
          </w14:textFill>
        </w:rPr>
        <w:t>双方因本合同而发生的争议，应首先由甲、乙双方协商解决。如协商不成的，任何一方可向深圳市龙岗区人民法院提起诉讼。</w:t>
      </w:r>
    </w:p>
    <w:p w14:paraId="51B1984D">
      <w:pPr>
        <w:spacing w:line="520" w:lineRule="exact"/>
        <w:ind w:right="-92" w:rightChars="-44"/>
        <w:outlineLvl w:val="0"/>
        <w:rPr>
          <w:rFonts w:ascii="仿宋_GB2312" w:hAnsi="仿宋_GB2312" w:eastAsia="仿宋_GB2312" w:cs="仿宋_GB2312"/>
          <w:b/>
          <w:color w:val="000000" w:themeColor="text1"/>
          <w:sz w:val="28"/>
          <w:szCs w:val="28"/>
          <w14:textFill>
            <w14:solidFill>
              <w14:schemeClr w14:val="tx1"/>
            </w14:solidFill>
          </w14:textFill>
        </w:rPr>
      </w:pPr>
      <w:r>
        <w:rPr>
          <w:rFonts w:hint="eastAsia" w:ascii="仿宋_GB2312" w:hAnsi="仿宋_GB2312" w:eastAsia="仿宋_GB2312" w:cs="仿宋_GB2312"/>
          <w:b/>
          <w:color w:val="000000" w:themeColor="text1"/>
          <w:sz w:val="28"/>
          <w:szCs w:val="28"/>
          <w14:textFill>
            <w14:solidFill>
              <w14:schemeClr w14:val="tx1"/>
            </w14:solidFill>
          </w14:textFill>
        </w:rPr>
        <w:t>第十一条 其他</w:t>
      </w:r>
    </w:p>
    <w:p w14:paraId="252CB36B">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1</w:t>
      </w:r>
      <w:r>
        <w:rPr>
          <w:rFonts w:hint="eastAsia" w:ascii="仿宋_GB2312" w:hAnsi="仿宋_GB2312" w:eastAsia="仿宋_GB2312" w:cs="仿宋_GB2312"/>
          <w:color w:val="000000" w:themeColor="text1"/>
          <w:kern w:val="24"/>
          <w:sz w:val="28"/>
          <w:szCs w:val="28"/>
          <w14:textFill>
            <w14:solidFill>
              <w14:schemeClr w14:val="tx1"/>
            </w14:solidFill>
          </w14:textFill>
        </w:rPr>
        <w:t>、</w:t>
      </w:r>
      <w:r>
        <w:rPr>
          <w:rFonts w:hint="eastAsia" w:ascii="仿宋_GB2312" w:hAnsi="仿宋_GB2312" w:eastAsia="仿宋_GB2312" w:cs="仿宋_GB2312"/>
          <w:color w:val="000000" w:themeColor="text1"/>
          <w:sz w:val="28"/>
          <w:szCs w:val="28"/>
          <w14:textFill>
            <w14:solidFill>
              <w14:schemeClr w14:val="tx1"/>
            </w14:solidFill>
          </w14:textFill>
        </w:rPr>
        <w:t>本合同未尽事宜，由双方友好协商，达成补充协议，补充协议与本合同具有同等的法律效力。</w:t>
      </w:r>
    </w:p>
    <w:p w14:paraId="3EEBC37F">
      <w:pPr>
        <w:spacing w:line="520" w:lineRule="exact"/>
        <w:ind w:right="-92" w:rightChars="-44" w:firstLine="560" w:firstLineChars="200"/>
        <w:rPr>
          <w:rFonts w:ascii="仿宋_GB2312" w:hAnsi="仿宋_GB2312" w:eastAsia="仿宋_GB2312" w:cs="仿宋_GB2312"/>
          <w:color w:val="000000" w:themeColor="text1"/>
          <w:kern w:val="24"/>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2</w:t>
      </w:r>
      <w:r>
        <w:rPr>
          <w:rFonts w:hint="eastAsia" w:ascii="仿宋_GB2312" w:hAnsi="仿宋_GB2312" w:eastAsia="仿宋_GB2312" w:cs="仿宋_GB2312"/>
          <w:color w:val="000000" w:themeColor="text1"/>
          <w:kern w:val="24"/>
          <w:sz w:val="28"/>
          <w:szCs w:val="28"/>
          <w14:textFill>
            <w14:solidFill>
              <w14:schemeClr w14:val="tx1"/>
            </w14:solidFill>
          </w14:textFill>
        </w:rPr>
        <w:t>、本合同经甲乙双方盖章并经法定代表人或授权代表签字后生效，本合同共一式份，甲方执_____份，乙方执份，均具同等法律效力。</w:t>
      </w:r>
    </w:p>
    <w:p w14:paraId="75B7BEBE">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p>
    <w:p w14:paraId="251D7689">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p>
    <w:p w14:paraId="765934D1">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p>
    <w:p w14:paraId="574C27F7">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 xml:space="preserve">甲方（盖章）：                    乙方（盖章）： </w:t>
      </w:r>
    </w:p>
    <w:p w14:paraId="1FA61A41">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负责人（签字或盖章）：            法定代表人（签字或盖章）：</w:t>
      </w:r>
    </w:p>
    <w:p w14:paraId="4249FC31">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经办人（签字或盖章）：            授权代理人（签字或盖章）：</w:t>
      </w:r>
    </w:p>
    <w:p w14:paraId="2B5CAFB4">
      <w:pPr>
        <w:tabs>
          <w:tab w:val="left" w:pos="4536"/>
        </w:tabs>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 xml:space="preserve">                                  经办人（签字或盖章）：</w:t>
      </w:r>
    </w:p>
    <w:p w14:paraId="1DCD664F">
      <w:pPr>
        <w:tabs>
          <w:tab w:val="left" w:pos="4830"/>
          <w:tab w:val="left" w:pos="5040"/>
        </w:tabs>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 xml:space="preserve">单位地址：                        单位地址： </w:t>
      </w:r>
    </w:p>
    <w:p w14:paraId="6BDA96F9">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邮政编码：                        邮政编码：</w:t>
      </w:r>
    </w:p>
    <w:p w14:paraId="3BDECA17">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联系电话：                        联系电话：</w:t>
      </w:r>
    </w:p>
    <w:p w14:paraId="6CFBA31A">
      <w:pPr>
        <w:spacing w:line="520" w:lineRule="exact"/>
        <w:rPr>
          <w:rFonts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传    真：                        传    真：</w:t>
      </w:r>
    </w:p>
    <w:p w14:paraId="0CAD18FB">
      <w:pPr>
        <w:spacing w:line="520" w:lineRule="exact"/>
        <w:ind w:right="-92" w:rightChars="-44" w:firstLine="560" w:firstLineChars="200"/>
        <w:rPr>
          <w:rFonts w:ascii="仿宋_GB2312" w:hAnsi="仿宋_GB2312" w:eastAsia="仿宋_GB2312" w:cs="仿宋_GB2312"/>
          <w:color w:val="000000" w:themeColor="text1"/>
          <w:sz w:val="28"/>
          <w:szCs w:val="28"/>
          <w14:textFill>
            <w14:solidFill>
              <w14:schemeClr w14:val="tx1"/>
            </w14:solidFill>
          </w14:textFill>
        </w:rPr>
      </w:pPr>
    </w:p>
    <w:p w14:paraId="67A40476">
      <w:pPr>
        <w:spacing w:line="520" w:lineRule="exact"/>
        <w:ind w:right="-92" w:rightChars="-44"/>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签约地点：</w:t>
      </w:r>
    </w:p>
    <w:p w14:paraId="1A4C1450">
      <w:pPr>
        <w:spacing w:line="50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签约时间：    年    月    日</w:t>
      </w:r>
    </w:p>
    <w:sectPr>
      <w:pgSz w:w="11906" w:h="16838"/>
      <w:pgMar w:top="1134" w:right="1587" w:bottom="113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CESI仿宋-GB2312">
    <w:altName w:val="仿宋"/>
    <w:panose1 w:val="00000000000000000000"/>
    <w:charset w:val="86"/>
    <w:family w:val="auto"/>
    <w:pitch w:val="default"/>
    <w:sig w:usb0="00000000" w:usb1="00000000" w:usb2="00000010"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DA32C">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1B012A">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E1B012A">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6D2EB9"/>
    <w:multiLevelType w:val="singleLevel"/>
    <w:tmpl w:val="176D2EB9"/>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VhYjIwYTFkMDUyN2RmOGI2OTNiMWRjYmY5MjBlYTUifQ=="/>
  </w:docVars>
  <w:rsids>
    <w:rsidRoot w:val="00A64240"/>
    <w:rsid w:val="0002380E"/>
    <w:rsid w:val="0002397E"/>
    <w:rsid w:val="00070197"/>
    <w:rsid w:val="000722CD"/>
    <w:rsid w:val="00077377"/>
    <w:rsid w:val="00081E19"/>
    <w:rsid w:val="00086CA9"/>
    <w:rsid w:val="000B2E15"/>
    <w:rsid w:val="000B5153"/>
    <w:rsid w:val="000C5023"/>
    <w:rsid w:val="000E3918"/>
    <w:rsid w:val="001136F1"/>
    <w:rsid w:val="0011526B"/>
    <w:rsid w:val="00117B2B"/>
    <w:rsid w:val="0012392C"/>
    <w:rsid w:val="00126A40"/>
    <w:rsid w:val="001272D0"/>
    <w:rsid w:val="00137115"/>
    <w:rsid w:val="0015085E"/>
    <w:rsid w:val="00156074"/>
    <w:rsid w:val="0016505D"/>
    <w:rsid w:val="0016653B"/>
    <w:rsid w:val="00170C62"/>
    <w:rsid w:val="00173F2D"/>
    <w:rsid w:val="00183D77"/>
    <w:rsid w:val="001B3333"/>
    <w:rsid w:val="001D0B32"/>
    <w:rsid w:val="001D4F87"/>
    <w:rsid w:val="001E09A5"/>
    <w:rsid w:val="001F07BE"/>
    <w:rsid w:val="001F22C4"/>
    <w:rsid w:val="001F406E"/>
    <w:rsid w:val="002102DC"/>
    <w:rsid w:val="00215639"/>
    <w:rsid w:val="00222032"/>
    <w:rsid w:val="00222AC8"/>
    <w:rsid w:val="00222B93"/>
    <w:rsid w:val="00230D7E"/>
    <w:rsid w:val="00241CE0"/>
    <w:rsid w:val="00250929"/>
    <w:rsid w:val="0025776F"/>
    <w:rsid w:val="00257EAD"/>
    <w:rsid w:val="0027656B"/>
    <w:rsid w:val="00276CB7"/>
    <w:rsid w:val="00280502"/>
    <w:rsid w:val="0029445D"/>
    <w:rsid w:val="00296087"/>
    <w:rsid w:val="002B0363"/>
    <w:rsid w:val="002C1863"/>
    <w:rsid w:val="002C336C"/>
    <w:rsid w:val="002D6BC8"/>
    <w:rsid w:val="002E007E"/>
    <w:rsid w:val="002E22CF"/>
    <w:rsid w:val="002F360D"/>
    <w:rsid w:val="00307E33"/>
    <w:rsid w:val="00310355"/>
    <w:rsid w:val="0034460F"/>
    <w:rsid w:val="00352D1C"/>
    <w:rsid w:val="00360CF8"/>
    <w:rsid w:val="0036674B"/>
    <w:rsid w:val="003843FA"/>
    <w:rsid w:val="0038798F"/>
    <w:rsid w:val="003A5AE6"/>
    <w:rsid w:val="003C2B3A"/>
    <w:rsid w:val="003C66D1"/>
    <w:rsid w:val="003D2E99"/>
    <w:rsid w:val="003D38E4"/>
    <w:rsid w:val="003E692E"/>
    <w:rsid w:val="003F5C4A"/>
    <w:rsid w:val="003F78FA"/>
    <w:rsid w:val="004119EE"/>
    <w:rsid w:val="00416F65"/>
    <w:rsid w:val="00427DBC"/>
    <w:rsid w:val="004335A6"/>
    <w:rsid w:val="0044387A"/>
    <w:rsid w:val="004634CF"/>
    <w:rsid w:val="00463C44"/>
    <w:rsid w:val="0047468A"/>
    <w:rsid w:val="00481AE0"/>
    <w:rsid w:val="004A26F6"/>
    <w:rsid w:val="004B535D"/>
    <w:rsid w:val="004B700F"/>
    <w:rsid w:val="004C3D0A"/>
    <w:rsid w:val="004C4273"/>
    <w:rsid w:val="004D162D"/>
    <w:rsid w:val="004E5C08"/>
    <w:rsid w:val="00503242"/>
    <w:rsid w:val="00540ADF"/>
    <w:rsid w:val="005463E3"/>
    <w:rsid w:val="005478E4"/>
    <w:rsid w:val="005527FE"/>
    <w:rsid w:val="005707D5"/>
    <w:rsid w:val="00571FAD"/>
    <w:rsid w:val="0059640C"/>
    <w:rsid w:val="005C2B6B"/>
    <w:rsid w:val="005C2FF6"/>
    <w:rsid w:val="005C6D0B"/>
    <w:rsid w:val="005E3B44"/>
    <w:rsid w:val="005F1174"/>
    <w:rsid w:val="005F5AD5"/>
    <w:rsid w:val="00602857"/>
    <w:rsid w:val="00623926"/>
    <w:rsid w:val="0062644A"/>
    <w:rsid w:val="00636A69"/>
    <w:rsid w:val="00637B68"/>
    <w:rsid w:val="0065409F"/>
    <w:rsid w:val="00674FFD"/>
    <w:rsid w:val="00681F32"/>
    <w:rsid w:val="006871F9"/>
    <w:rsid w:val="006A430F"/>
    <w:rsid w:val="006A75AC"/>
    <w:rsid w:val="006F6016"/>
    <w:rsid w:val="00705E77"/>
    <w:rsid w:val="00706A50"/>
    <w:rsid w:val="00710780"/>
    <w:rsid w:val="007174EA"/>
    <w:rsid w:val="00725420"/>
    <w:rsid w:val="00726D50"/>
    <w:rsid w:val="00736576"/>
    <w:rsid w:val="00753D9E"/>
    <w:rsid w:val="0075639D"/>
    <w:rsid w:val="0079551D"/>
    <w:rsid w:val="007A0AA9"/>
    <w:rsid w:val="007B4AFB"/>
    <w:rsid w:val="007C3EC3"/>
    <w:rsid w:val="007C5500"/>
    <w:rsid w:val="007E0149"/>
    <w:rsid w:val="00800107"/>
    <w:rsid w:val="00800DE5"/>
    <w:rsid w:val="00802B5B"/>
    <w:rsid w:val="008067E4"/>
    <w:rsid w:val="00810989"/>
    <w:rsid w:val="00817515"/>
    <w:rsid w:val="00821A5B"/>
    <w:rsid w:val="00834B83"/>
    <w:rsid w:val="008457B4"/>
    <w:rsid w:val="00867AB5"/>
    <w:rsid w:val="00870A46"/>
    <w:rsid w:val="00896221"/>
    <w:rsid w:val="008A432C"/>
    <w:rsid w:val="008C307F"/>
    <w:rsid w:val="008D4CA8"/>
    <w:rsid w:val="008E30C2"/>
    <w:rsid w:val="008F42BC"/>
    <w:rsid w:val="00900299"/>
    <w:rsid w:val="009037DE"/>
    <w:rsid w:val="009062FC"/>
    <w:rsid w:val="00906CC7"/>
    <w:rsid w:val="00907E90"/>
    <w:rsid w:val="00920D7D"/>
    <w:rsid w:val="009341AB"/>
    <w:rsid w:val="00934A20"/>
    <w:rsid w:val="009416F4"/>
    <w:rsid w:val="009463A7"/>
    <w:rsid w:val="00946B15"/>
    <w:rsid w:val="00950792"/>
    <w:rsid w:val="0095566A"/>
    <w:rsid w:val="00982037"/>
    <w:rsid w:val="009935FD"/>
    <w:rsid w:val="00997F07"/>
    <w:rsid w:val="009B12B2"/>
    <w:rsid w:val="009B45F5"/>
    <w:rsid w:val="009C327E"/>
    <w:rsid w:val="009C409A"/>
    <w:rsid w:val="009C4CBD"/>
    <w:rsid w:val="009E41BE"/>
    <w:rsid w:val="009F6BD1"/>
    <w:rsid w:val="00A05027"/>
    <w:rsid w:val="00A1118E"/>
    <w:rsid w:val="00A230C5"/>
    <w:rsid w:val="00A25175"/>
    <w:rsid w:val="00A31101"/>
    <w:rsid w:val="00A31F60"/>
    <w:rsid w:val="00A45D61"/>
    <w:rsid w:val="00A64240"/>
    <w:rsid w:val="00A662C8"/>
    <w:rsid w:val="00A670DB"/>
    <w:rsid w:val="00A67FC3"/>
    <w:rsid w:val="00A779D2"/>
    <w:rsid w:val="00A85234"/>
    <w:rsid w:val="00A87C62"/>
    <w:rsid w:val="00A92B3F"/>
    <w:rsid w:val="00A964A8"/>
    <w:rsid w:val="00AA39F2"/>
    <w:rsid w:val="00AB3377"/>
    <w:rsid w:val="00AC077B"/>
    <w:rsid w:val="00AE5FFB"/>
    <w:rsid w:val="00B21932"/>
    <w:rsid w:val="00B3338D"/>
    <w:rsid w:val="00B42E3B"/>
    <w:rsid w:val="00B437D7"/>
    <w:rsid w:val="00B535DE"/>
    <w:rsid w:val="00B62EC1"/>
    <w:rsid w:val="00B62F94"/>
    <w:rsid w:val="00B66712"/>
    <w:rsid w:val="00B721C3"/>
    <w:rsid w:val="00B94C08"/>
    <w:rsid w:val="00BC125F"/>
    <w:rsid w:val="00BD1F67"/>
    <w:rsid w:val="00BD2B1C"/>
    <w:rsid w:val="00BD350E"/>
    <w:rsid w:val="00BD61FF"/>
    <w:rsid w:val="00BE41B2"/>
    <w:rsid w:val="00BF27F6"/>
    <w:rsid w:val="00BF43A0"/>
    <w:rsid w:val="00BF52B2"/>
    <w:rsid w:val="00BF6450"/>
    <w:rsid w:val="00BF679C"/>
    <w:rsid w:val="00BF79B6"/>
    <w:rsid w:val="00C07F92"/>
    <w:rsid w:val="00C17D4E"/>
    <w:rsid w:val="00C33E4F"/>
    <w:rsid w:val="00C368F5"/>
    <w:rsid w:val="00C44208"/>
    <w:rsid w:val="00C4761C"/>
    <w:rsid w:val="00C53716"/>
    <w:rsid w:val="00C647D7"/>
    <w:rsid w:val="00C85701"/>
    <w:rsid w:val="00C93180"/>
    <w:rsid w:val="00CB368A"/>
    <w:rsid w:val="00CB5D99"/>
    <w:rsid w:val="00CC339C"/>
    <w:rsid w:val="00CE2DFD"/>
    <w:rsid w:val="00CE3C26"/>
    <w:rsid w:val="00CE764A"/>
    <w:rsid w:val="00CF5A66"/>
    <w:rsid w:val="00D050CF"/>
    <w:rsid w:val="00D05E6D"/>
    <w:rsid w:val="00D12EFB"/>
    <w:rsid w:val="00D31BD1"/>
    <w:rsid w:val="00D45123"/>
    <w:rsid w:val="00D51BA0"/>
    <w:rsid w:val="00D83700"/>
    <w:rsid w:val="00D90F2A"/>
    <w:rsid w:val="00DA2BD8"/>
    <w:rsid w:val="00DA46E3"/>
    <w:rsid w:val="00DB235E"/>
    <w:rsid w:val="00DC14F5"/>
    <w:rsid w:val="00DC698D"/>
    <w:rsid w:val="00DD7A69"/>
    <w:rsid w:val="00DE08A1"/>
    <w:rsid w:val="00DE1BAA"/>
    <w:rsid w:val="00DF7091"/>
    <w:rsid w:val="00E1129D"/>
    <w:rsid w:val="00E14898"/>
    <w:rsid w:val="00E409FD"/>
    <w:rsid w:val="00E43A1E"/>
    <w:rsid w:val="00E50832"/>
    <w:rsid w:val="00E5423F"/>
    <w:rsid w:val="00E671D4"/>
    <w:rsid w:val="00E72FDE"/>
    <w:rsid w:val="00E74E66"/>
    <w:rsid w:val="00E84D84"/>
    <w:rsid w:val="00E94F3C"/>
    <w:rsid w:val="00E978EF"/>
    <w:rsid w:val="00EA172B"/>
    <w:rsid w:val="00EA4EA0"/>
    <w:rsid w:val="00EB57D4"/>
    <w:rsid w:val="00EC2A8D"/>
    <w:rsid w:val="00ED220E"/>
    <w:rsid w:val="00EE5F6C"/>
    <w:rsid w:val="00EF1B56"/>
    <w:rsid w:val="00EF301D"/>
    <w:rsid w:val="00F042FA"/>
    <w:rsid w:val="00F058D1"/>
    <w:rsid w:val="00F32AE0"/>
    <w:rsid w:val="00F42A83"/>
    <w:rsid w:val="00F44335"/>
    <w:rsid w:val="00F65BB0"/>
    <w:rsid w:val="00F73E76"/>
    <w:rsid w:val="00F853F4"/>
    <w:rsid w:val="00F92B48"/>
    <w:rsid w:val="00F94EFE"/>
    <w:rsid w:val="00FB5DEE"/>
    <w:rsid w:val="00FE3D5D"/>
    <w:rsid w:val="00FE56EA"/>
    <w:rsid w:val="00FE7CE0"/>
    <w:rsid w:val="00FF4ED5"/>
    <w:rsid w:val="01C52079"/>
    <w:rsid w:val="02F343D6"/>
    <w:rsid w:val="047D3DD3"/>
    <w:rsid w:val="049C2078"/>
    <w:rsid w:val="05D6114E"/>
    <w:rsid w:val="06113EC5"/>
    <w:rsid w:val="06EC66E0"/>
    <w:rsid w:val="07A214BC"/>
    <w:rsid w:val="07B70A9C"/>
    <w:rsid w:val="082425D6"/>
    <w:rsid w:val="08E05A6A"/>
    <w:rsid w:val="0C266FFC"/>
    <w:rsid w:val="0CD137B4"/>
    <w:rsid w:val="0E1704E7"/>
    <w:rsid w:val="0EE334D5"/>
    <w:rsid w:val="0F3F27C4"/>
    <w:rsid w:val="10E25EB3"/>
    <w:rsid w:val="110C08E6"/>
    <w:rsid w:val="116972AB"/>
    <w:rsid w:val="120668A8"/>
    <w:rsid w:val="1319085D"/>
    <w:rsid w:val="1864257A"/>
    <w:rsid w:val="1B304996"/>
    <w:rsid w:val="1B4927A0"/>
    <w:rsid w:val="1B9F6A27"/>
    <w:rsid w:val="1BB87C2C"/>
    <w:rsid w:val="1C7301FF"/>
    <w:rsid w:val="1C984EE8"/>
    <w:rsid w:val="1E310D51"/>
    <w:rsid w:val="1E4F5A7B"/>
    <w:rsid w:val="1EF75A7D"/>
    <w:rsid w:val="20447934"/>
    <w:rsid w:val="20BE47F2"/>
    <w:rsid w:val="224FCE77"/>
    <w:rsid w:val="22BA1AC3"/>
    <w:rsid w:val="23222338"/>
    <w:rsid w:val="23B06362"/>
    <w:rsid w:val="24005C7F"/>
    <w:rsid w:val="24945F95"/>
    <w:rsid w:val="250A4EB8"/>
    <w:rsid w:val="2701217B"/>
    <w:rsid w:val="27184413"/>
    <w:rsid w:val="28CC2F7A"/>
    <w:rsid w:val="2965535E"/>
    <w:rsid w:val="2A511C7B"/>
    <w:rsid w:val="2B0724C2"/>
    <w:rsid w:val="2B255B0F"/>
    <w:rsid w:val="2B273A62"/>
    <w:rsid w:val="2D3E8DDF"/>
    <w:rsid w:val="2DAC25A2"/>
    <w:rsid w:val="2F9B7EF3"/>
    <w:rsid w:val="302E788E"/>
    <w:rsid w:val="30450A8C"/>
    <w:rsid w:val="35EC2804"/>
    <w:rsid w:val="37072877"/>
    <w:rsid w:val="37225683"/>
    <w:rsid w:val="38302972"/>
    <w:rsid w:val="38CA4224"/>
    <w:rsid w:val="3AFC28EF"/>
    <w:rsid w:val="3C6D73A0"/>
    <w:rsid w:val="3D777748"/>
    <w:rsid w:val="3E3E410A"/>
    <w:rsid w:val="3E6D7C56"/>
    <w:rsid w:val="3F366B8F"/>
    <w:rsid w:val="3F47761A"/>
    <w:rsid w:val="3F5B4E48"/>
    <w:rsid w:val="3F982463"/>
    <w:rsid w:val="3FAC9995"/>
    <w:rsid w:val="3FE5EC01"/>
    <w:rsid w:val="3FFBC850"/>
    <w:rsid w:val="42E5262D"/>
    <w:rsid w:val="43947908"/>
    <w:rsid w:val="44D2693A"/>
    <w:rsid w:val="46184820"/>
    <w:rsid w:val="463406CE"/>
    <w:rsid w:val="46FA5BC2"/>
    <w:rsid w:val="47B75973"/>
    <w:rsid w:val="485B2A8E"/>
    <w:rsid w:val="4A401F61"/>
    <w:rsid w:val="4AC07955"/>
    <w:rsid w:val="4CF25319"/>
    <w:rsid w:val="4D4D3119"/>
    <w:rsid w:val="4D592F94"/>
    <w:rsid w:val="4E8221D7"/>
    <w:rsid w:val="4EC21E12"/>
    <w:rsid w:val="4FDC7B05"/>
    <w:rsid w:val="4FFA4EA9"/>
    <w:rsid w:val="509D37B7"/>
    <w:rsid w:val="536757B6"/>
    <w:rsid w:val="53AB60B3"/>
    <w:rsid w:val="548322AE"/>
    <w:rsid w:val="576378C6"/>
    <w:rsid w:val="57C2C469"/>
    <w:rsid w:val="58517B98"/>
    <w:rsid w:val="5A0052A7"/>
    <w:rsid w:val="5A70D4B5"/>
    <w:rsid w:val="5AFFF8F3"/>
    <w:rsid w:val="5BB66216"/>
    <w:rsid w:val="5BF771FC"/>
    <w:rsid w:val="5BFEF63A"/>
    <w:rsid w:val="5E3F19C6"/>
    <w:rsid w:val="5EFF1916"/>
    <w:rsid w:val="5EFFED1C"/>
    <w:rsid w:val="5FB7E01E"/>
    <w:rsid w:val="5FFA4779"/>
    <w:rsid w:val="64D25AB7"/>
    <w:rsid w:val="661B69BD"/>
    <w:rsid w:val="6792598C"/>
    <w:rsid w:val="67FDA11F"/>
    <w:rsid w:val="67FE6700"/>
    <w:rsid w:val="6A7B1818"/>
    <w:rsid w:val="6A87738D"/>
    <w:rsid w:val="6DC347C2"/>
    <w:rsid w:val="6ED7E0F7"/>
    <w:rsid w:val="6EF9947D"/>
    <w:rsid w:val="6F7A7103"/>
    <w:rsid w:val="6FDF30C2"/>
    <w:rsid w:val="70510512"/>
    <w:rsid w:val="70AEBC10"/>
    <w:rsid w:val="713A1498"/>
    <w:rsid w:val="71F51628"/>
    <w:rsid w:val="72702618"/>
    <w:rsid w:val="73FB792F"/>
    <w:rsid w:val="74D87734"/>
    <w:rsid w:val="763F2BC4"/>
    <w:rsid w:val="77377444"/>
    <w:rsid w:val="773A83BD"/>
    <w:rsid w:val="777F927D"/>
    <w:rsid w:val="77FD3672"/>
    <w:rsid w:val="77FE9618"/>
    <w:rsid w:val="78C91D58"/>
    <w:rsid w:val="797763E5"/>
    <w:rsid w:val="797D43BF"/>
    <w:rsid w:val="7AFEB2D3"/>
    <w:rsid w:val="7B7D92D4"/>
    <w:rsid w:val="7C1C7EBF"/>
    <w:rsid w:val="7CBF03D0"/>
    <w:rsid w:val="7CEAB538"/>
    <w:rsid w:val="7CED4D40"/>
    <w:rsid w:val="7DBFD222"/>
    <w:rsid w:val="7DC2F937"/>
    <w:rsid w:val="7DED449C"/>
    <w:rsid w:val="7E29E7FB"/>
    <w:rsid w:val="7EDFA5F8"/>
    <w:rsid w:val="7EFF3689"/>
    <w:rsid w:val="7EFFDD48"/>
    <w:rsid w:val="7F7910CB"/>
    <w:rsid w:val="7FE0AB33"/>
    <w:rsid w:val="7FF38205"/>
    <w:rsid w:val="81FF47EE"/>
    <w:rsid w:val="8ED6F957"/>
    <w:rsid w:val="8FF64903"/>
    <w:rsid w:val="AB2FC0B7"/>
    <w:rsid w:val="ABEFB70F"/>
    <w:rsid w:val="AEABDA34"/>
    <w:rsid w:val="AFFF90B4"/>
    <w:rsid w:val="B18F1004"/>
    <w:rsid w:val="BBFF25DF"/>
    <w:rsid w:val="BE6E626E"/>
    <w:rsid w:val="C7FFF1A2"/>
    <w:rsid w:val="CDFC8C74"/>
    <w:rsid w:val="CFBA1589"/>
    <w:rsid w:val="CFF6EF22"/>
    <w:rsid w:val="D3FFB6BE"/>
    <w:rsid w:val="D67D7F7F"/>
    <w:rsid w:val="D7BCA025"/>
    <w:rsid w:val="D7FD776B"/>
    <w:rsid w:val="D9FFC15C"/>
    <w:rsid w:val="DC57F1D8"/>
    <w:rsid w:val="DCBFCB86"/>
    <w:rsid w:val="DDBF5D7B"/>
    <w:rsid w:val="DDCDA3F1"/>
    <w:rsid w:val="E9FFBC99"/>
    <w:rsid w:val="EB6DE0BC"/>
    <w:rsid w:val="EDFDD714"/>
    <w:rsid w:val="EED7652F"/>
    <w:rsid w:val="EF57497F"/>
    <w:rsid w:val="F27B7FF9"/>
    <w:rsid w:val="F59EF4D8"/>
    <w:rsid w:val="F6639EB7"/>
    <w:rsid w:val="F6EE80A5"/>
    <w:rsid w:val="F6FEFE7F"/>
    <w:rsid w:val="F7336795"/>
    <w:rsid w:val="F7BE1790"/>
    <w:rsid w:val="F7FB394A"/>
    <w:rsid w:val="F9F23723"/>
    <w:rsid w:val="FBFF1C10"/>
    <w:rsid w:val="FCDB3E96"/>
    <w:rsid w:val="FD7B9BA5"/>
    <w:rsid w:val="FDEFBD28"/>
    <w:rsid w:val="FEAF6601"/>
    <w:rsid w:val="FEF690A2"/>
    <w:rsid w:val="FF3DCC54"/>
    <w:rsid w:val="FFA73F94"/>
    <w:rsid w:val="FFCE9360"/>
    <w:rsid w:val="FFF72637"/>
    <w:rsid w:val="FFFB21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qFormat="1" w:unhideWhenUsed="0" w:uiPriority="0" w:semiHidden="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 w:hAnsi="仿宋" w:eastAsia="仿宋" w:cs="Times New Roman"/>
      <w:kern w:val="2"/>
      <w:sz w:val="21"/>
      <w:szCs w:val="21"/>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0"/>
    <w:pPr>
      <w:adjustRightInd w:val="0"/>
      <w:jc w:val="center"/>
      <w:textAlignment w:val="baseline"/>
      <w:outlineLvl w:val="1"/>
    </w:pPr>
    <w:rPr>
      <w:rFonts w:ascii="宋体" w:hAnsi="宋体"/>
      <w:kern w:val="0"/>
      <w:sz w:val="24"/>
      <w:szCs w:val="20"/>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Document Map"/>
    <w:basedOn w:val="1"/>
    <w:link w:val="28"/>
    <w:qFormat/>
    <w:uiPriority w:val="0"/>
    <w:rPr>
      <w:rFonts w:ascii="宋体" w:eastAsia="宋体"/>
      <w:sz w:val="18"/>
      <w:szCs w:val="18"/>
    </w:rPr>
  </w:style>
  <w:style w:type="paragraph" w:styleId="6">
    <w:name w:val="annotation text"/>
    <w:basedOn w:val="1"/>
    <w:link w:val="22"/>
    <w:qFormat/>
    <w:uiPriority w:val="0"/>
    <w:pPr>
      <w:jc w:val="left"/>
    </w:pPr>
  </w:style>
  <w:style w:type="paragraph" w:styleId="7">
    <w:name w:val="Body Text"/>
    <w:basedOn w:val="1"/>
    <w:next w:val="8"/>
    <w:link w:val="31"/>
    <w:qFormat/>
    <w:uiPriority w:val="99"/>
    <w:pPr>
      <w:spacing w:after="120"/>
    </w:pPr>
  </w:style>
  <w:style w:type="paragraph" w:styleId="8">
    <w:name w:val="Body Text 2"/>
    <w:basedOn w:val="1"/>
    <w:link w:val="32"/>
    <w:qFormat/>
    <w:uiPriority w:val="0"/>
    <w:pPr>
      <w:spacing w:after="120" w:line="480" w:lineRule="auto"/>
    </w:pPr>
  </w:style>
  <w:style w:type="paragraph" w:styleId="9">
    <w:name w:val="Plain Text"/>
    <w:basedOn w:val="1"/>
    <w:link w:val="30"/>
    <w:qFormat/>
    <w:uiPriority w:val="0"/>
    <w:rPr>
      <w:rFonts w:ascii="宋体" w:hAnsi="Courier New" w:cs="Courier New" w:eastAsiaTheme="minorEastAsia"/>
    </w:rPr>
  </w:style>
  <w:style w:type="paragraph" w:styleId="10">
    <w:name w:val="Balloon Text"/>
    <w:basedOn w:val="1"/>
    <w:link w:val="24"/>
    <w:qFormat/>
    <w:uiPriority w:val="0"/>
    <w:rPr>
      <w:sz w:val="18"/>
      <w:szCs w:val="18"/>
    </w:rPr>
  </w:style>
  <w:style w:type="paragraph" w:styleId="11">
    <w:name w:val="footer"/>
    <w:basedOn w:val="1"/>
    <w:link w:val="21"/>
    <w:qFormat/>
    <w:uiPriority w:val="0"/>
    <w:pPr>
      <w:tabs>
        <w:tab w:val="center" w:pos="4153"/>
        <w:tab w:val="right" w:pos="8306"/>
      </w:tabs>
      <w:snapToGrid w:val="0"/>
      <w:jc w:val="left"/>
    </w:pPr>
    <w:rPr>
      <w:sz w:val="18"/>
      <w:szCs w:val="18"/>
    </w:rPr>
  </w:style>
  <w:style w:type="paragraph" w:styleId="12">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3">
    <w:name w:val="Normal (Web)"/>
    <w:basedOn w:val="1"/>
    <w:qFormat/>
    <w:uiPriority w:val="0"/>
    <w:pPr>
      <w:spacing w:beforeAutospacing="1" w:afterAutospacing="1"/>
      <w:jc w:val="left"/>
    </w:pPr>
    <w:rPr>
      <w:kern w:val="0"/>
      <w:sz w:val="24"/>
    </w:rPr>
  </w:style>
  <w:style w:type="paragraph" w:styleId="14">
    <w:name w:val="annotation subject"/>
    <w:basedOn w:val="6"/>
    <w:next w:val="6"/>
    <w:link w:val="23"/>
    <w:qFormat/>
    <w:uiPriority w:val="0"/>
    <w:rPr>
      <w:b/>
      <w:bCs/>
    </w:rPr>
  </w:style>
  <w:style w:type="table" w:styleId="16">
    <w:name w:val="Table Grid"/>
    <w:basedOn w:val="1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annotation reference"/>
    <w:basedOn w:val="17"/>
    <w:qFormat/>
    <w:uiPriority w:val="0"/>
    <w:rPr>
      <w:sz w:val="21"/>
      <w:szCs w:val="21"/>
    </w:rPr>
  </w:style>
  <w:style w:type="character" w:customStyle="1" w:styleId="20">
    <w:name w:val="页眉 字符"/>
    <w:basedOn w:val="17"/>
    <w:link w:val="12"/>
    <w:qFormat/>
    <w:uiPriority w:val="0"/>
    <w:rPr>
      <w:rFonts w:asciiTheme="minorHAnsi" w:hAnsiTheme="minorHAnsi" w:eastAsiaTheme="minorEastAsia" w:cstheme="minorBidi"/>
      <w:kern w:val="2"/>
      <w:sz w:val="18"/>
      <w:szCs w:val="18"/>
    </w:rPr>
  </w:style>
  <w:style w:type="character" w:customStyle="1" w:styleId="21">
    <w:name w:val="页脚 字符"/>
    <w:basedOn w:val="17"/>
    <w:link w:val="11"/>
    <w:qFormat/>
    <w:uiPriority w:val="0"/>
    <w:rPr>
      <w:rFonts w:asciiTheme="minorHAnsi" w:hAnsiTheme="minorHAnsi" w:eastAsiaTheme="minorEastAsia" w:cstheme="minorBidi"/>
      <w:kern w:val="2"/>
      <w:sz w:val="18"/>
      <w:szCs w:val="18"/>
    </w:rPr>
  </w:style>
  <w:style w:type="character" w:customStyle="1" w:styleId="22">
    <w:name w:val="批注文字 字符"/>
    <w:basedOn w:val="17"/>
    <w:link w:val="6"/>
    <w:qFormat/>
    <w:uiPriority w:val="0"/>
    <w:rPr>
      <w:rFonts w:asciiTheme="minorHAnsi" w:hAnsiTheme="minorHAnsi" w:eastAsiaTheme="minorEastAsia" w:cstheme="minorBidi"/>
      <w:kern w:val="2"/>
      <w:sz w:val="21"/>
      <w:szCs w:val="24"/>
    </w:rPr>
  </w:style>
  <w:style w:type="character" w:customStyle="1" w:styleId="23">
    <w:name w:val="批注主题 字符"/>
    <w:basedOn w:val="22"/>
    <w:link w:val="14"/>
    <w:qFormat/>
    <w:uiPriority w:val="0"/>
    <w:rPr>
      <w:rFonts w:asciiTheme="minorHAnsi" w:hAnsiTheme="minorHAnsi" w:eastAsiaTheme="minorEastAsia" w:cstheme="minorBidi"/>
      <w:b/>
      <w:bCs/>
      <w:kern w:val="2"/>
      <w:sz w:val="21"/>
      <w:szCs w:val="24"/>
    </w:rPr>
  </w:style>
  <w:style w:type="character" w:customStyle="1" w:styleId="24">
    <w:name w:val="批注框文本 字符"/>
    <w:basedOn w:val="17"/>
    <w:link w:val="10"/>
    <w:qFormat/>
    <w:uiPriority w:val="0"/>
    <w:rPr>
      <w:rFonts w:asciiTheme="minorHAnsi" w:hAnsiTheme="minorHAnsi" w:eastAsiaTheme="minorEastAsia" w:cstheme="minorBidi"/>
      <w:kern w:val="2"/>
      <w:sz w:val="18"/>
      <w:szCs w:val="18"/>
    </w:rPr>
  </w:style>
  <w:style w:type="paragraph" w:customStyle="1" w:styleId="25">
    <w:name w:val="修订1"/>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26">
    <w:name w:val="fontstyle01"/>
    <w:basedOn w:val="17"/>
    <w:qFormat/>
    <w:uiPriority w:val="0"/>
    <w:rPr>
      <w:rFonts w:hint="eastAsia" w:ascii="宋体" w:hAnsi="宋体" w:eastAsia="宋体"/>
      <w:color w:val="000000"/>
      <w:sz w:val="22"/>
      <w:szCs w:val="22"/>
    </w:rPr>
  </w:style>
  <w:style w:type="character" w:customStyle="1" w:styleId="27">
    <w:name w:val="标题 1 字符"/>
    <w:basedOn w:val="17"/>
    <w:link w:val="2"/>
    <w:qFormat/>
    <w:uiPriority w:val="0"/>
    <w:rPr>
      <w:rFonts w:asciiTheme="minorHAnsi" w:hAnsiTheme="minorHAnsi" w:eastAsiaTheme="minorEastAsia" w:cstheme="minorBidi"/>
      <w:b/>
      <w:bCs/>
      <w:kern w:val="44"/>
      <w:sz w:val="44"/>
      <w:szCs w:val="44"/>
    </w:rPr>
  </w:style>
  <w:style w:type="character" w:customStyle="1" w:styleId="28">
    <w:name w:val="文档结构图 字符"/>
    <w:basedOn w:val="17"/>
    <w:link w:val="5"/>
    <w:qFormat/>
    <w:uiPriority w:val="0"/>
    <w:rPr>
      <w:rFonts w:ascii="宋体" w:hAnsiTheme="minorHAnsi" w:cstheme="minorBidi"/>
      <w:kern w:val="2"/>
      <w:sz w:val="18"/>
      <w:szCs w:val="18"/>
    </w:rPr>
  </w:style>
  <w:style w:type="character" w:customStyle="1" w:styleId="29">
    <w:name w:val="标题 2 字符"/>
    <w:link w:val="3"/>
    <w:qFormat/>
    <w:uiPriority w:val="0"/>
    <w:rPr>
      <w:rFonts w:ascii="宋体" w:hAnsi="宋体"/>
      <w:sz w:val="24"/>
    </w:rPr>
  </w:style>
  <w:style w:type="character" w:customStyle="1" w:styleId="30">
    <w:name w:val="纯文本 字符"/>
    <w:basedOn w:val="17"/>
    <w:link w:val="9"/>
    <w:qFormat/>
    <w:uiPriority w:val="0"/>
    <w:rPr>
      <w:rFonts w:ascii="宋体" w:hAnsi="Courier New" w:cs="Courier New" w:eastAsiaTheme="minorEastAsia"/>
      <w:kern w:val="2"/>
      <w:sz w:val="21"/>
      <w:szCs w:val="21"/>
    </w:rPr>
  </w:style>
  <w:style w:type="character" w:customStyle="1" w:styleId="31">
    <w:name w:val="正文文本 字符"/>
    <w:basedOn w:val="17"/>
    <w:link w:val="7"/>
    <w:qFormat/>
    <w:uiPriority w:val="99"/>
    <w:rPr>
      <w:kern w:val="2"/>
      <w:sz w:val="21"/>
      <w:szCs w:val="21"/>
    </w:rPr>
  </w:style>
  <w:style w:type="character" w:customStyle="1" w:styleId="32">
    <w:name w:val="正文文本 2 字符"/>
    <w:basedOn w:val="17"/>
    <w:link w:val="8"/>
    <w:qFormat/>
    <w:uiPriority w:val="0"/>
    <w:rPr>
      <w:kern w:val="2"/>
      <w:sz w:val="21"/>
      <w:szCs w:val="21"/>
    </w:rPr>
  </w:style>
  <w:style w:type="paragraph" w:customStyle="1" w:styleId="33">
    <w:name w:val="Revision"/>
    <w:hidden/>
    <w:unhideWhenUsed/>
    <w:qFormat/>
    <w:uiPriority w:val="99"/>
    <w:rPr>
      <w:rFonts w:ascii="仿宋" w:hAnsi="仿宋" w:eastAsia="仿宋"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13393</Words>
  <Characters>13667</Characters>
  <Lines>99</Lines>
  <Paragraphs>28</Paragraphs>
  <TotalTime>13</TotalTime>
  <ScaleCrop>false</ScaleCrop>
  <LinksUpToDate>false</LinksUpToDate>
  <CharactersWithSpaces>14102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2024-12-11T09:33:00Z</dcterms:created>
  <dc:creator>Tracy Hou（DKAM-B11)</dc:creator>
  <cp:lastModifiedBy>kid</cp:lastModifiedBy>
  <cp:lastPrinted>2025-09-30T23:13:00Z</cp:lastPrinted>
  <dcterms:modified xsi:type="dcterms:W3CDTF">2025-10-28T03:07:42Z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2A7A7B61685F46F5B049E0D5969D971D_13</vt:lpwstr>
  </property>
  <property fmtid="{D5CDD505-2E9C-101B-9397-08002B2CF9AE}" pid="4" name="KSOTemplateDocerSaveRecord">
    <vt:lpwstr>eyJoZGlkIjoiMDkyN2JiZWExZTU5NTY1MjkyNzYyYTVlZGFiOWRkZjAiLCJ1c2VySWQiOiIxMzM2MTM2MDE1In0=</vt:lpwstr>
  </property>
</Properties>
</file>